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方正小标宋简体" w:hAnsi="方正小标宋简体" w:eastAsia="方正小标宋简体" w:cs="方正小标宋简体"/>
          <w:b w:val="0"/>
          <w:bCs w:val="0"/>
          <w:kern w:val="0"/>
          <w:sz w:val="44"/>
          <w:szCs w:val="44"/>
          <w:lang w:val="zh-TW" w:eastAsia="zh-TW"/>
        </w:rPr>
      </w:pPr>
      <w:r>
        <w:rPr>
          <w:rFonts w:hint="eastAsia" w:ascii="方正小标宋简体" w:hAnsi="方正小标宋简体"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方正小标宋简体" w:hAnsi="方正小标宋简体" w:eastAsia="方正小标宋简体" w:cs="方正小标宋简体"/>
          <w:b w:val="0"/>
          <w:bCs w:val="0"/>
          <w:kern w:val="0"/>
          <w:sz w:val="44"/>
          <w:szCs w:val="44"/>
          <w:lang w:val="zh-TW" w:eastAsia="zh-TW"/>
        </w:rPr>
      </w:pPr>
      <w:r>
        <w:rPr>
          <w:rFonts w:hint="eastAsia" w:ascii="方正小标宋简体" w:hAnsi="方正小标宋简体" w:eastAsia="方正小标宋简体" w:cs="方正小标宋简体"/>
          <w:b w:val="0"/>
          <w:bCs w:val="0"/>
          <w:kern w:val="0"/>
          <w:sz w:val="44"/>
          <w:szCs w:val="44"/>
          <w:lang w:val="zh-TW" w:eastAsia="zh-TW"/>
        </w:rPr>
        <w:t>聘请</w:t>
      </w:r>
      <w:r>
        <w:rPr>
          <w:rFonts w:hint="eastAsia" w:ascii="方正小标宋简体" w:hAnsi="方正小标宋简体"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kern w:val="0"/>
          <w:sz w:val="32"/>
          <w:szCs w:val="32"/>
          <w:lang w:val="zh-TW" w:eastAsia="zh-TW"/>
        </w:rPr>
        <w:t>海南联合资产管理有限公司</w:t>
      </w:r>
      <w:r>
        <w:rPr>
          <w:rFonts w:hint="eastAsia" w:ascii="Times New Roman" w:hAnsi="Times New Roman" w:eastAsia="仿宋_GB2312" w:cs="仿宋_GB2312"/>
          <w:kern w:val="0"/>
          <w:sz w:val="32"/>
          <w:szCs w:val="32"/>
          <w:lang w:val="zh-TW" w:eastAsia="zh-CN"/>
        </w:rPr>
        <w:t>（</w:t>
      </w:r>
      <w:r>
        <w:rPr>
          <w:rFonts w:hint="eastAsia" w:ascii="Times New Roman" w:hAnsi="Times New Roman" w:eastAsia="仿宋_GB2312" w:cs="仿宋_GB2312"/>
          <w:kern w:val="0"/>
          <w:sz w:val="32"/>
          <w:szCs w:val="32"/>
          <w:lang w:val="en-US" w:eastAsia="zh-CN"/>
        </w:rPr>
        <w:t>以下称我司</w:t>
      </w:r>
      <w:r>
        <w:rPr>
          <w:rFonts w:hint="eastAsia" w:ascii="Times New Roman" w:hAnsi="Times New Roman" w:eastAsia="仿宋_GB2312" w:cs="仿宋_GB2312"/>
          <w:kern w:val="0"/>
          <w:sz w:val="32"/>
          <w:szCs w:val="32"/>
          <w:lang w:val="zh-TW" w:eastAsia="zh-CN"/>
        </w:rPr>
        <w:t>）</w:t>
      </w:r>
      <w:r>
        <w:rPr>
          <w:rFonts w:hint="eastAsia" w:ascii="Times New Roman" w:hAnsi="Times New Roman" w:eastAsia="仿宋_GB2312" w:cs="仿宋_GB2312"/>
          <w:kern w:val="0"/>
          <w:sz w:val="32"/>
          <w:szCs w:val="32"/>
          <w:lang w:val="zh-TW" w:eastAsia="zh-TW"/>
        </w:rPr>
        <w:t>拟对海口市华海路1849.69㎡土地</w:t>
      </w:r>
      <w:r>
        <w:rPr>
          <w:rFonts w:hint="eastAsia" w:ascii="Times New Roman" w:hAnsi="Times New Roman" w:eastAsia="仿宋_GB2312" w:cs="仿宋_GB2312"/>
          <w:kern w:val="0"/>
          <w:sz w:val="32"/>
          <w:szCs w:val="32"/>
          <w:lang w:val="en-US" w:eastAsia="zh-CN"/>
        </w:rPr>
        <w:t>使用权</w:t>
      </w:r>
      <w:r>
        <w:rPr>
          <w:rFonts w:hint="eastAsia" w:ascii="Times New Roman" w:hAnsi="Times New Roman" w:eastAsia="仿宋_GB2312" w:cs="仿宋_GB2312"/>
          <w:kern w:val="0"/>
          <w:sz w:val="32"/>
          <w:szCs w:val="32"/>
          <w:lang w:val="zh-TW" w:eastAsia="zh-TW"/>
        </w:rPr>
        <w:t>实施价值评估，</w:t>
      </w:r>
      <w:r>
        <w:rPr>
          <w:rFonts w:hint="eastAsia" w:ascii="Times New Roman" w:hAnsi="Times New Roman" w:eastAsia="仿宋_GB2312" w:cs="仿宋_GB2312"/>
          <w:kern w:val="0"/>
          <w:sz w:val="32"/>
          <w:szCs w:val="32"/>
          <w:lang w:val="en-US" w:eastAsia="zh-CN"/>
        </w:rPr>
        <w:t>拟聘请1</w:t>
      </w:r>
      <w:r>
        <w:rPr>
          <w:rFonts w:hint="eastAsia" w:ascii="Times New Roman" w:hAnsi="Times New Roman" w:eastAsia="仿宋_GB2312" w:cs="仿宋_GB2312"/>
          <w:kern w:val="0"/>
          <w:sz w:val="32"/>
          <w:szCs w:val="32"/>
          <w:lang w:val="zh-TW"/>
        </w:rPr>
        <w:t>家</w:t>
      </w:r>
      <w:r>
        <w:rPr>
          <w:rFonts w:hint="eastAsia" w:ascii="Times New Roman" w:hAnsi="Times New Roman" w:eastAsia="仿宋_GB2312" w:cs="仿宋_GB2312"/>
          <w:kern w:val="0"/>
          <w:sz w:val="32"/>
          <w:szCs w:val="32"/>
          <w:lang w:val="zh-TW" w:eastAsia="zh-TW"/>
        </w:rPr>
        <w:t>资产评估机构</w:t>
      </w:r>
      <w:r>
        <w:rPr>
          <w:rFonts w:hint="eastAsia" w:ascii="Times New Roman" w:hAnsi="Times New Roman" w:eastAsia="仿宋_GB2312" w:cs="仿宋_GB2312"/>
          <w:kern w:val="0"/>
          <w:sz w:val="32"/>
          <w:szCs w:val="32"/>
          <w:lang w:val="en-US" w:eastAsia="zh-CN"/>
        </w:rPr>
        <w:t>实施该项目，根据我司《</w:t>
      </w:r>
      <w:r>
        <w:rPr>
          <w:rFonts w:hint="eastAsia" w:ascii="Times New Roman" w:hAnsi="Times New Roman" w:eastAsia="仿宋_GB2312" w:cs="仿宋_GB2312"/>
          <w:sz w:val="32"/>
          <w:lang w:eastAsia="zh-CN"/>
        </w:rPr>
        <w:t>资产评估管理办法（试行）</w:t>
      </w:r>
      <w:r>
        <w:rPr>
          <w:rFonts w:hint="eastAsia" w:ascii="Times New Roman" w:hAnsi="Times New Roman" w:eastAsia="仿宋_GB2312" w:cs="仿宋_GB2312"/>
          <w:kern w:val="0"/>
          <w:sz w:val="32"/>
          <w:szCs w:val="32"/>
          <w:lang w:val="en-US" w:eastAsia="zh-CN"/>
        </w:rPr>
        <w:t>》规定，现向社会公开征求响应文件</w:t>
      </w:r>
      <w:r>
        <w:rPr>
          <w:rFonts w:hint="eastAsia" w:ascii="Times New Roman" w:hAnsi="Times New Roman" w:eastAsia="仿宋_GB2312" w:cs="仿宋_GB2312"/>
          <w:kern w:val="0"/>
          <w:sz w:val="32"/>
          <w:szCs w:val="32"/>
          <w:lang w:val="zh-TW" w:eastAsia="zh-TW"/>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en-US" w:eastAsia="zh-CN"/>
        </w:rPr>
        <w:t>一</w:t>
      </w: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en-US" w:eastAsia="zh-CN"/>
        </w:rPr>
        <w:t>评估项目名称、内容</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b w:val="0"/>
          <w:bCs w:val="0"/>
          <w:kern w:val="0"/>
          <w:sz w:val="32"/>
          <w:szCs w:val="32"/>
          <w:lang w:val="zh-TW" w:eastAsia="zh-TW"/>
        </w:rPr>
        <w:t>聘请</w:t>
      </w:r>
      <w:r>
        <w:rPr>
          <w:rFonts w:hint="eastAsia" w:ascii="Times New Roman" w:hAnsi="Times New Roman" w:eastAsia="仿宋_GB2312" w:cs="仿宋_GB2312"/>
          <w:b w:val="0"/>
          <w:bCs w:val="0"/>
          <w:kern w:val="0"/>
          <w:sz w:val="32"/>
          <w:szCs w:val="32"/>
          <w:lang w:val="en-US" w:eastAsia="zh-CN"/>
        </w:rPr>
        <w:t>1家资产评估机构对我司持有的</w:t>
      </w:r>
      <w:r>
        <w:rPr>
          <w:rFonts w:hint="eastAsia" w:ascii="Times New Roman" w:hAnsi="Times New Roman" w:eastAsia="仿宋_GB2312" w:cs="仿宋_GB2312"/>
          <w:kern w:val="0"/>
          <w:sz w:val="32"/>
          <w:szCs w:val="32"/>
          <w:lang w:val="zh-TW" w:eastAsia="zh-TW"/>
        </w:rPr>
        <w:t>海口市华海路1849.69㎡土地</w:t>
      </w:r>
      <w:r>
        <w:rPr>
          <w:rFonts w:hint="eastAsia" w:ascii="Times New Roman" w:hAnsi="Times New Roman" w:eastAsia="仿宋_GB2312" w:cs="仿宋_GB2312"/>
          <w:kern w:val="0"/>
          <w:sz w:val="32"/>
          <w:szCs w:val="32"/>
          <w:lang w:val="en-US" w:eastAsia="zh-CN"/>
        </w:rPr>
        <w:t>使用权</w:t>
      </w:r>
      <w:r>
        <w:rPr>
          <w:rFonts w:hint="eastAsia" w:ascii="Times New Roman" w:hAnsi="Times New Roman" w:eastAsia="仿宋_GB2312" w:cs="仿宋_GB2312"/>
          <w:kern w:val="0"/>
          <w:sz w:val="32"/>
          <w:szCs w:val="32"/>
          <w:lang w:val="zh-TW" w:eastAsia="zh-TW"/>
        </w:rPr>
        <w:t>实施价值评估</w:t>
      </w:r>
      <w:r>
        <w:rPr>
          <w:rFonts w:hint="eastAsia" w:ascii="Times New Roman" w:hAnsi="Times New Roman" w:eastAsia="仿宋_GB2312" w:cs="仿宋_GB2312"/>
          <w:b w:val="0"/>
          <w:bCs w:val="0"/>
          <w:kern w:val="0"/>
          <w:sz w:val="32"/>
          <w:szCs w:val="32"/>
          <w:lang w:val="en-US" w:eastAsia="zh-CN"/>
        </w:rPr>
        <w:t>。</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en-US" w:eastAsia="zh-CN"/>
        </w:rPr>
        <w:t>二</w:t>
      </w:r>
      <w:r>
        <w:rPr>
          <w:rFonts w:hint="eastAsia" w:ascii="Times New Roman" w:hAnsi="Times New Roman" w:eastAsia="仿宋_GB2312" w:cs="仿宋_GB2312"/>
          <w:b/>
          <w:bCs/>
          <w:kern w:val="0"/>
          <w:sz w:val="32"/>
          <w:szCs w:val="32"/>
          <w:lang w:val="zh-TW" w:eastAsia="zh-CN"/>
        </w:rPr>
        <w:t>）</w:t>
      </w:r>
      <w:r>
        <w:rPr>
          <w:rFonts w:hint="eastAsia" w:ascii="Times New Roman" w:hAnsi="Times New Roman" w:eastAsia="仿宋_GB2312" w:cs="仿宋_GB2312"/>
          <w:b/>
          <w:bCs/>
          <w:kern w:val="0"/>
          <w:sz w:val="32"/>
          <w:szCs w:val="32"/>
          <w:lang w:val="zh-TW" w:eastAsia="zh-TW"/>
        </w:rPr>
        <w:t>评估对象</w:t>
      </w:r>
      <w:r>
        <w:rPr>
          <w:rFonts w:hint="eastAsia" w:ascii="Times New Roman" w:hAnsi="Times New Roman" w:eastAsia="仿宋_GB2312" w:cs="仿宋_GB2312"/>
          <w:b/>
          <w:bCs/>
          <w:kern w:val="0"/>
          <w:sz w:val="32"/>
          <w:szCs w:val="32"/>
          <w:lang w:val="en-US" w:eastAsia="zh-CN"/>
        </w:rPr>
        <w:t>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kern w:val="0"/>
          <w:sz w:val="32"/>
          <w:szCs w:val="32"/>
          <w:lang w:val="en-US" w:eastAsia="zh-CN"/>
        </w:rPr>
      </w:pPr>
      <w:r>
        <w:rPr>
          <w:rFonts w:hint="eastAsia" w:ascii="Times New Roman" w:hAnsi="Times New Roman" w:eastAsia="仿宋_GB2312" w:cs="仿宋_GB2312"/>
          <w:kern w:val="0"/>
          <w:sz w:val="32"/>
          <w:szCs w:val="32"/>
          <w:lang w:val="en-US" w:eastAsia="zh-CN"/>
        </w:rPr>
        <w:t>土地位于海口市龙华区华海路4号，性质为商业用地B1，兼容B2、B3、B9；容积率 3.0，建筑密度≤35%，规划容积率为3.0，宗地面积</w:t>
      </w:r>
      <w:r>
        <w:rPr>
          <w:rFonts w:hint="eastAsia" w:ascii="Times New Roman" w:hAnsi="Times New Roman" w:eastAsia="仿宋_GB2312" w:cs="仿宋_GB2312"/>
          <w:kern w:val="0"/>
          <w:sz w:val="32"/>
          <w:szCs w:val="32"/>
          <w:lang w:val="zh-TW" w:eastAsia="zh-TW"/>
        </w:rPr>
        <w:t>1849.69㎡</w:t>
      </w:r>
      <w:r>
        <w:rPr>
          <w:rFonts w:hint="eastAsia" w:ascii="Times New Roman" w:hAnsi="Times New Roman" w:eastAsia="仿宋_GB2312" w:cs="仿宋_GB2312"/>
          <w:kern w:val="0"/>
          <w:sz w:val="32"/>
          <w:szCs w:val="32"/>
          <w:lang w:val="zh-TW" w:eastAsia="zh-CN"/>
        </w:rPr>
        <w:t>，</w:t>
      </w:r>
      <w:r>
        <w:rPr>
          <w:rFonts w:hint="eastAsia" w:ascii="Times New Roman" w:hAnsi="Times New Roman" w:eastAsia="仿宋_GB2312" w:cs="仿宋_GB2312"/>
          <w:kern w:val="0"/>
          <w:sz w:val="32"/>
          <w:szCs w:val="32"/>
          <w:lang w:val="en-US" w:eastAsia="zh-CN"/>
        </w:rPr>
        <w:t>规划建设面积为5549.07㎡。</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bidi="ar-SA"/>
        </w:rPr>
        <w:t>（三）</w:t>
      </w:r>
      <w:r>
        <w:rPr>
          <w:rFonts w:hint="eastAsia" w:ascii="Times New Roman" w:hAnsi="Times New Roman" w:eastAsia="仿宋_GB2312" w:cs="仿宋_GB2312"/>
          <w:b/>
          <w:bCs/>
          <w:kern w:val="0"/>
          <w:sz w:val="32"/>
          <w:szCs w:val="32"/>
          <w:lang w:val="zh-TW" w:eastAsia="zh-TW"/>
        </w:rPr>
        <w:t>评估</w:t>
      </w:r>
      <w:r>
        <w:rPr>
          <w:rFonts w:hint="eastAsia" w:ascii="Times New Roman" w:hAnsi="Times New Roman" w:eastAsia="仿宋_GB2312" w:cs="仿宋_GB2312"/>
          <w:b/>
          <w:bCs/>
          <w:kern w:val="0"/>
          <w:sz w:val="32"/>
          <w:szCs w:val="32"/>
          <w:lang w:val="en-US" w:eastAsia="zh-CN"/>
        </w:rPr>
        <w:t>时限</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b w:val="0"/>
          <w:bCs w:val="0"/>
          <w:kern w:val="0"/>
          <w:sz w:val="32"/>
          <w:szCs w:val="32"/>
          <w:lang w:val="zh-TW" w:eastAsia="zh-TW"/>
        </w:rPr>
      </w:pPr>
      <w:r>
        <w:rPr>
          <w:rFonts w:hint="eastAsia" w:ascii="Times New Roman" w:hAnsi="Times New Roman" w:eastAsia="仿宋_GB2312" w:cs="仿宋_GB2312"/>
          <w:kern w:val="0"/>
          <w:sz w:val="32"/>
          <w:szCs w:val="32"/>
          <w:lang w:val="en-US" w:eastAsia="zh-CN"/>
        </w:rPr>
        <w:t>自进场之日起15个工作日</w:t>
      </w:r>
      <w:r>
        <w:rPr>
          <w:rFonts w:hint="eastAsia" w:ascii="Times New Roman" w:hAnsi="Times New Roman" w:eastAsia="仿宋_GB2312" w:cs="仿宋_GB2312"/>
          <w:kern w:val="0"/>
          <w:sz w:val="32"/>
          <w:szCs w:val="32"/>
          <w:lang w:val="zh-TW" w:eastAsia="zh-TW"/>
        </w:rPr>
        <w:t>，</w:t>
      </w:r>
      <w:r>
        <w:rPr>
          <w:rFonts w:hint="eastAsia" w:ascii="Times New Roman" w:hAnsi="Times New Roman" w:eastAsia="仿宋_GB2312" w:cs="仿宋_GB2312"/>
          <w:kern w:val="0"/>
          <w:sz w:val="32"/>
          <w:szCs w:val="32"/>
          <w:lang w:val="en-US" w:eastAsia="zh-CN"/>
        </w:rPr>
        <w:t>最迟不晚于4</w:t>
      </w:r>
      <w:r>
        <w:rPr>
          <w:rFonts w:hint="eastAsia" w:ascii="Times New Roman" w:hAnsi="Times New Roman" w:eastAsia="仿宋_GB2312" w:cs="仿宋_GB2312"/>
          <w:kern w:val="0"/>
          <w:sz w:val="32"/>
          <w:szCs w:val="32"/>
          <w:lang w:val="zh-TW" w:eastAsia="zh-TW"/>
        </w:rPr>
        <w:t>月</w:t>
      </w:r>
      <w:r>
        <w:rPr>
          <w:rFonts w:hint="eastAsia" w:ascii="Times New Roman" w:hAnsi="Times New Roman" w:eastAsia="仿宋_GB2312" w:cs="仿宋_GB2312"/>
          <w:kern w:val="0"/>
          <w:sz w:val="32"/>
          <w:szCs w:val="32"/>
          <w:lang w:val="en-US" w:eastAsia="zh-CN"/>
        </w:rPr>
        <w:t>15</w:t>
      </w:r>
      <w:r>
        <w:rPr>
          <w:rFonts w:hint="eastAsia" w:ascii="Times New Roman" w:hAnsi="Times New Roman" w:eastAsia="仿宋_GB2312" w:cs="仿宋_GB2312"/>
          <w:kern w:val="0"/>
          <w:sz w:val="32"/>
          <w:szCs w:val="32"/>
          <w:lang w:val="zh-TW" w:eastAsia="zh-TW"/>
        </w:rPr>
        <w:t>日前提供报告初稿，</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zh-TW" w:eastAsia="zh-TW"/>
        </w:rPr>
        <w:t>月</w:t>
      </w:r>
      <w:r>
        <w:rPr>
          <w:rFonts w:hint="eastAsia" w:ascii="Times New Roman" w:hAnsi="Times New Roman" w:eastAsia="仿宋_GB2312" w:cs="仿宋_GB2312"/>
          <w:kern w:val="0"/>
          <w:sz w:val="32"/>
          <w:szCs w:val="32"/>
          <w:lang w:val="en-US" w:eastAsia="zh-CN"/>
        </w:rPr>
        <w:t>30</w:t>
      </w:r>
      <w:r>
        <w:rPr>
          <w:rFonts w:hint="eastAsia" w:ascii="Times New Roman" w:hAnsi="Times New Roman" w:eastAsia="仿宋_GB2312" w:cs="仿宋_GB2312"/>
          <w:kern w:val="0"/>
          <w:sz w:val="32"/>
          <w:szCs w:val="32"/>
          <w:lang w:val="zh-TW" w:eastAsia="zh-TW"/>
        </w:rPr>
        <w:t>日</w:t>
      </w:r>
      <w:r>
        <w:rPr>
          <w:rFonts w:hint="eastAsia" w:ascii="Times New Roman" w:hAnsi="Times New Roman" w:eastAsia="仿宋_GB2312" w:cs="仿宋_GB2312"/>
          <w:kern w:val="0"/>
          <w:sz w:val="32"/>
          <w:szCs w:val="32"/>
        </w:rPr>
        <w:t>前</w:t>
      </w:r>
      <w:r>
        <w:rPr>
          <w:rFonts w:hint="eastAsia" w:ascii="Times New Roman" w:hAnsi="Times New Roman" w:eastAsia="仿宋_GB2312" w:cs="仿宋_GB2312"/>
          <w:kern w:val="0"/>
          <w:sz w:val="32"/>
          <w:szCs w:val="32"/>
          <w:lang w:val="zh-TW" w:eastAsia="zh-TW"/>
        </w:rPr>
        <w:t>出具正式报告。</w:t>
      </w:r>
      <w:r>
        <w:rPr>
          <w:rFonts w:hint="eastAsia" w:ascii="Times New Roman" w:hAnsi="Times New Roman" w:eastAsia="仿宋_GB2312" w:cs="仿宋_GB2312"/>
          <w:kern w:val="0"/>
          <w:sz w:val="32"/>
          <w:szCs w:val="32"/>
          <w:lang w:val="en-US" w:eastAsia="zh-CN"/>
        </w:rPr>
        <w:t>具体</w:t>
      </w:r>
      <w:r>
        <w:rPr>
          <w:rFonts w:hint="eastAsia" w:ascii="Times New Roman" w:hAnsi="Times New Roman" w:eastAsia="仿宋_GB2312" w:cs="仿宋_GB2312"/>
          <w:kern w:val="0"/>
          <w:sz w:val="32"/>
          <w:szCs w:val="32"/>
          <w:lang w:val="zh-TW" w:eastAsia="zh-TW"/>
        </w:rPr>
        <w:t>以签订评估服务协议时间为准。</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bidi="ar-SA"/>
        </w:rPr>
        <w:t>（四）</w:t>
      </w:r>
      <w:r>
        <w:rPr>
          <w:rFonts w:hint="eastAsia" w:ascii="Times New Roman" w:hAnsi="Times New Roman" w:eastAsia="仿宋_GB2312" w:cs="仿宋_GB2312"/>
          <w:b/>
          <w:bCs/>
          <w:kern w:val="0"/>
          <w:sz w:val="32"/>
          <w:szCs w:val="32"/>
          <w:lang w:val="zh-TW" w:eastAsia="zh-TW"/>
        </w:rPr>
        <w:t>评估</w:t>
      </w:r>
      <w:r>
        <w:rPr>
          <w:rFonts w:hint="eastAsia" w:ascii="Times New Roman" w:hAnsi="Times New Roman" w:eastAsia="仿宋_GB2312" w:cs="仿宋_GB2312"/>
          <w:b/>
          <w:bCs/>
          <w:kern w:val="0"/>
          <w:sz w:val="32"/>
          <w:szCs w:val="32"/>
          <w:lang w:val="en-US" w:eastAsia="zh-CN"/>
        </w:rPr>
        <w:t>目的</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lang w:val="en-US" w:eastAsia="zh-CN"/>
        </w:rPr>
        <w:t>土地</w:t>
      </w:r>
      <w:r>
        <w:rPr>
          <w:rFonts w:hint="eastAsia" w:ascii="Times New Roman" w:hAnsi="Times New Roman" w:eastAsia="仿宋_GB2312" w:cs="仿宋_GB2312"/>
          <w:kern w:val="0"/>
          <w:sz w:val="32"/>
          <w:szCs w:val="32"/>
          <w:lang w:val="zh-TW" w:eastAsia="zh-TW"/>
        </w:rPr>
        <w:t>合作开发</w:t>
      </w:r>
      <w:r>
        <w:rPr>
          <w:rFonts w:hint="eastAsia" w:ascii="Times New Roman" w:hAnsi="Times New Roman" w:eastAsia="仿宋_GB2312" w:cs="仿宋_GB2312"/>
          <w:kern w:val="0"/>
          <w:sz w:val="32"/>
          <w:szCs w:val="32"/>
          <w:lang w:val="zh-TW"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本项目采购控制价不超1.6万元（大写人民币壹万陆仟元正）。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pStyle w:val="10"/>
        <w:keepNext w:val="0"/>
        <w:keepLines w:val="0"/>
        <w:pageBreakBefore w:val="0"/>
        <w:widowControl/>
        <w:numPr>
          <w:ilvl w:val="0"/>
          <w:numId w:val="0"/>
        </w:numPr>
        <w:kinsoku/>
        <w:wordWrap w:val="0"/>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仿宋_GB2312"/>
          <w:b/>
          <w:bCs/>
          <w:kern w:val="0"/>
          <w:sz w:val="32"/>
          <w:szCs w:val="32"/>
          <w:lang w:val="en-US" w:eastAsia="zh-TW"/>
        </w:rPr>
      </w:pPr>
      <w:r>
        <w:rPr>
          <w:rFonts w:hint="eastAsia" w:ascii="Times New Roman" w:hAnsi="Times New Roman" w:eastAsia="仿宋_GB2312" w:cs="仿宋_GB2312"/>
          <w:kern w:val="0"/>
          <w:sz w:val="32"/>
          <w:szCs w:val="32"/>
          <w:highlight w:val="none"/>
          <w:lang w:val="en-US" w:eastAsia="zh-CN"/>
        </w:rPr>
        <w:t>本项目采用询价方式进行采购，分为</w:t>
      </w:r>
      <w:r>
        <w:rPr>
          <w:rFonts w:hint="eastAsia" w:ascii="Times New Roman" w:hAnsi="Times New Roman" w:eastAsia="仿宋_GB2312" w:cs="仿宋_GB2312"/>
          <w:sz w:val="32"/>
          <w:szCs w:val="32"/>
          <w:lang w:val="en-US" w:eastAsia="zh-CN"/>
        </w:rPr>
        <w:t>资格审查、现场评审两部分。</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（一）资格审查</w:t>
      </w:r>
    </w:p>
    <w:p>
      <w:pPr>
        <w:pStyle w:val="10"/>
        <w:keepNext w:val="0"/>
        <w:keepLines w:val="0"/>
        <w:pageBreakBefore w:val="0"/>
        <w:widowControl/>
        <w:numPr>
          <w:ilvl w:val="0"/>
          <w:numId w:val="0"/>
        </w:numPr>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1.响应供应商按照询价文件要求提交资格审查文件一式两份，</w:t>
      </w:r>
      <w:r>
        <w:rPr>
          <w:rFonts w:hint="eastAsia" w:ascii="Times New Roman" w:hAnsi="Times New Roman" w:eastAsia="仿宋_GB2312" w:cs="仿宋_GB2312"/>
          <w:sz w:val="32"/>
          <w:szCs w:val="32"/>
          <w:lang w:val="zh-TW" w:eastAsia="zh-TW"/>
        </w:rPr>
        <w:t>并在</w:t>
      </w:r>
      <w:r>
        <w:rPr>
          <w:rFonts w:hint="eastAsia" w:ascii="Times New Roman" w:hAnsi="Times New Roman" w:eastAsia="仿宋_GB2312" w:cs="仿宋_GB2312"/>
          <w:sz w:val="32"/>
          <w:szCs w:val="32"/>
          <w:lang w:val="en-US" w:eastAsia="zh-CN"/>
        </w:rPr>
        <w:t>响应文件</w:t>
      </w:r>
      <w:r>
        <w:rPr>
          <w:rFonts w:hint="eastAsia" w:ascii="Times New Roman" w:hAnsi="Times New Roman" w:eastAsia="仿宋_GB2312" w:cs="仿宋_GB2312"/>
          <w:sz w:val="32"/>
          <w:szCs w:val="32"/>
          <w:lang w:val="zh-TW" w:eastAsia="zh-TW"/>
        </w:rPr>
        <w:t>密封封口处加盖公章。</w:t>
      </w:r>
    </w:p>
    <w:p>
      <w:pPr>
        <w:pStyle w:val="10"/>
        <w:keepNext w:val="0"/>
        <w:keepLines w:val="0"/>
        <w:pageBreakBefore w:val="0"/>
        <w:widowControl/>
        <w:numPr>
          <w:ilvl w:val="0"/>
          <w:numId w:val="0"/>
        </w:numPr>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TW"/>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zh-TW" w:eastAsia="zh-TW"/>
        </w:rPr>
        <w:t>收到</w:t>
      </w:r>
      <w:r>
        <w:rPr>
          <w:rFonts w:hint="eastAsia" w:ascii="Times New Roman" w:hAnsi="Times New Roman" w:eastAsia="仿宋_GB2312" w:cs="仿宋_GB2312"/>
          <w:sz w:val="32"/>
          <w:szCs w:val="32"/>
          <w:lang w:val="en-US" w:eastAsia="zh-CN"/>
        </w:rPr>
        <w:t>资格审查文件后</w:t>
      </w:r>
      <w:r>
        <w:rPr>
          <w:rFonts w:hint="eastAsia" w:ascii="Times New Roman" w:hAnsi="Times New Roman" w:eastAsia="仿宋_GB2312" w:cs="仿宋_GB2312"/>
          <w:sz w:val="32"/>
          <w:szCs w:val="32"/>
          <w:lang w:val="zh-TW" w:eastAsia="zh-TW"/>
        </w:rPr>
        <w:t>，</w:t>
      </w:r>
      <w:r>
        <w:rPr>
          <w:rFonts w:hint="eastAsia" w:ascii="Times New Roman" w:hAnsi="Times New Roman" w:eastAsia="仿宋_GB2312" w:cs="仿宋_GB2312"/>
          <w:sz w:val="32"/>
          <w:szCs w:val="32"/>
          <w:lang w:val="en-US" w:eastAsia="zh-CN"/>
        </w:rPr>
        <w:t>我司将</w:t>
      </w:r>
      <w:r>
        <w:rPr>
          <w:rFonts w:hint="eastAsia" w:ascii="Times New Roman" w:hAnsi="Times New Roman" w:eastAsia="仿宋_GB2312" w:cs="仿宋_GB2312"/>
          <w:sz w:val="32"/>
          <w:szCs w:val="32"/>
          <w:lang w:val="zh-TW" w:eastAsia="zh-TW"/>
        </w:rPr>
        <w:t>对</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供应商进行资格审查</w:t>
      </w:r>
      <w:r>
        <w:rPr>
          <w:rFonts w:hint="eastAsia" w:ascii="Times New Roman" w:hAnsi="Times New Roman" w:eastAsia="仿宋_GB2312" w:cs="仿宋_GB2312"/>
          <w:sz w:val="32"/>
          <w:szCs w:val="32"/>
          <w:lang w:val="zh-TW" w:eastAsia="zh-CN"/>
        </w:rPr>
        <w:t>，</w:t>
      </w:r>
      <w:r>
        <w:rPr>
          <w:rFonts w:hint="eastAsia" w:ascii="Times New Roman" w:hAnsi="Times New Roman" w:eastAsia="仿宋_GB2312" w:cs="仿宋_GB2312"/>
          <w:sz w:val="32"/>
          <w:szCs w:val="32"/>
          <w:lang w:val="en-US" w:eastAsia="zh-CN"/>
        </w:rPr>
        <w:t>对于资格审查资料不全的，可以要求供应商补充相关文件，无法提交文件的，则资格审查不通过。具体要求参见询价文件《资格审查条件》。</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sz w:val="32"/>
          <w:szCs w:val="32"/>
          <w:lang w:val="en-US" w:eastAsia="zh-CN"/>
        </w:rPr>
        <w:t>3.询价</w:t>
      </w:r>
      <w:r>
        <w:rPr>
          <w:rFonts w:hint="eastAsia" w:ascii="Times New Roman" w:hAnsi="Times New Roman" w:eastAsia="仿宋_GB2312" w:cs="仿宋_GB2312"/>
          <w:sz w:val="32"/>
          <w:szCs w:val="32"/>
          <w:lang w:val="zh-TW" w:eastAsia="zh-TW"/>
        </w:rPr>
        <w:t>公告发出后，在规定截止时间通过资格审查不足3家</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供应商的，应当</w:t>
      </w:r>
      <w:r>
        <w:rPr>
          <w:rFonts w:hint="eastAsia" w:ascii="Times New Roman" w:hAnsi="Times New Roman" w:eastAsia="仿宋_GB2312" w:cs="仿宋_GB2312"/>
          <w:sz w:val="32"/>
          <w:szCs w:val="32"/>
          <w:lang w:val="en-US" w:eastAsia="zh-CN"/>
        </w:rPr>
        <w:t>延期开展采购</w:t>
      </w:r>
      <w:r>
        <w:rPr>
          <w:rFonts w:hint="eastAsia" w:ascii="Times New Roman" w:hAnsi="Times New Roman" w:eastAsia="仿宋_GB2312" w:cs="仿宋_GB2312"/>
          <w:sz w:val="32"/>
          <w:szCs w:val="32"/>
          <w:lang w:val="zh-TW" w:eastAsia="zh-TW"/>
        </w:rPr>
        <w:t>工作。</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val="zh-TW" w:eastAsia="zh-TW"/>
        </w:rPr>
        <w:t>一般情况下，资格条件没有变动，资格审查结果当年有效，当年提交过资格审查文件的</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供应商，当年内再次</w:t>
      </w:r>
      <w:r>
        <w:rPr>
          <w:rFonts w:hint="eastAsia" w:ascii="Times New Roman" w:hAnsi="Times New Roman" w:eastAsia="仿宋_GB2312" w:cs="仿宋_GB2312"/>
          <w:sz w:val="32"/>
          <w:szCs w:val="32"/>
          <w:lang w:val="en-US" w:eastAsia="zh-CN"/>
        </w:rPr>
        <w:t>响应</w:t>
      </w:r>
      <w:r>
        <w:rPr>
          <w:rFonts w:hint="eastAsia" w:ascii="Times New Roman" w:hAnsi="Times New Roman" w:eastAsia="仿宋_GB2312" w:cs="仿宋_GB2312"/>
          <w:sz w:val="32"/>
          <w:szCs w:val="32"/>
          <w:lang w:val="zh-TW" w:eastAsia="zh-TW"/>
        </w:rPr>
        <w:t>时仅需提交报价文件</w:t>
      </w:r>
      <w:r>
        <w:rPr>
          <w:rFonts w:hint="eastAsia" w:ascii="Times New Roman" w:hAnsi="Times New Roman" w:eastAsia="仿宋_GB2312" w:cs="仿宋_GB2312"/>
          <w:sz w:val="32"/>
          <w:szCs w:val="32"/>
          <w:lang w:val="en-US" w:eastAsia="zh-CN"/>
        </w:rPr>
        <w:t>及资格审查材料未变动的承诺函</w:t>
      </w:r>
      <w:r>
        <w:rPr>
          <w:rFonts w:hint="eastAsia" w:ascii="Times New Roman" w:hAnsi="Times New Roman" w:eastAsia="仿宋_GB2312" w:cs="仿宋_GB2312"/>
          <w:sz w:val="32"/>
          <w:szCs w:val="32"/>
          <w:lang w:val="zh-TW" w:eastAsia="zh-TW"/>
        </w:rPr>
        <w:t>，无需重复提交资格审查文件。</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（二）现场评审</w:t>
      </w:r>
    </w:p>
    <w:p>
      <w:pPr>
        <w:pStyle w:val="10"/>
        <w:keepNext w:val="0"/>
        <w:keepLines w:val="0"/>
        <w:pageBreakBefore w:val="0"/>
        <w:widowControl/>
        <w:numPr>
          <w:ilvl w:val="0"/>
          <w:numId w:val="0"/>
        </w:numPr>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1.资格审查结束后，响应</w:t>
      </w:r>
      <w:r>
        <w:rPr>
          <w:rFonts w:hint="eastAsia" w:ascii="Times New Roman" w:hAnsi="Times New Roman" w:eastAsia="仿宋_GB2312" w:cs="仿宋_GB2312"/>
          <w:sz w:val="32"/>
          <w:szCs w:val="32"/>
          <w:lang w:val="zh-TW" w:eastAsia="zh-TW"/>
        </w:rPr>
        <w:t>供应商</w:t>
      </w:r>
      <w:r>
        <w:rPr>
          <w:rFonts w:hint="eastAsia" w:ascii="Times New Roman" w:hAnsi="Times New Roman" w:eastAsia="仿宋_GB2312" w:cs="仿宋_GB2312"/>
          <w:sz w:val="32"/>
          <w:szCs w:val="32"/>
          <w:lang w:val="en-US" w:eastAsia="zh-CN"/>
        </w:rPr>
        <w:t>按询价文件要求提交报价文件一式两份，</w:t>
      </w:r>
      <w:r>
        <w:rPr>
          <w:rFonts w:hint="eastAsia" w:ascii="Times New Roman" w:hAnsi="Times New Roman" w:eastAsia="仿宋_GB2312" w:cs="仿宋_GB2312"/>
          <w:sz w:val="32"/>
          <w:szCs w:val="32"/>
          <w:lang w:val="zh-TW" w:eastAsia="zh-TW"/>
        </w:rPr>
        <w:t>并在报价</w:t>
      </w:r>
      <w:r>
        <w:rPr>
          <w:rFonts w:hint="eastAsia" w:ascii="Times New Roman" w:hAnsi="Times New Roman" w:eastAsia="仿宋_GB2312" w:cs="仿宋_GB2312"/>
          <w:sz w:val="32"/>
          <w:szCs w:val="32"/>
          <w:lang w:val="en-US" w:eastAsia="zh-CN"/>
        </w:rPr>
        <w:t>文件</w:t>
      </w:r>
      <w:r>
        <w:rPr>
          <w:rFonts w:hint="eastAsia" w:ascii="Times New Roman" w:hAnsi="Times New Roman" w:eastAsia="仿宋_GB2312" w:cs="仿宋_GB2312"/>
          <w:sz w:val="32"/>
          <w:szCs w:val="32"/>
          <w:lang w:val="zh-TW" w:eastAsia="zh-TW"/>
        </w:rPr>
        <w:t>密封封口处加盖公章。</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2.收到全部询价文件后，我司将自行组织评审工作，通过资格审查且报价评分最高者为中选供应商。</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报价评分计算方式：费用报价得分（100分制）=100－（报价基准价－费用报价）的绝对值÷报价基准价×100，报价基准价为参与选聘的评估机构费用报价的平均值。</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3.如有2家及以上供应商报价得分相同，费用价格最低者中选；如2家及以上供应商均为最低价，通过现场抽签形式确定中选供应商。</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4.响应供应商可申请参加现场评审工作，因场地限制，每家单位限报名1人参加。</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default"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zh-TW" w:eastAsia="zh-CN" w:bidi="ar-SA"/>
        </w:rPr>
        <w:t>（</w:t>
      </w:r>
      <w:r>
        <w:rPr>
          <w:rFonts w:hint="eastAsia" w:ascii="Times New Roman" w:hAnsi="Times New Roman" w:eastAsia="仿宋_GB2312" w:cs="仿宋_GB2312"/>
          <w:b/>
          <w:bCs/>
          <w:kern w:val="0"/>
          <w:sz w:val="32"/>
          <w:szCs w:val="32"/>
          <w:lang w:val="en-US" w:eastAsia="zh-CN" w:bidi="ar-SA"/>
        </w:rPr>
        <w:t>三）结果公告</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本项目选聘结果在我司官网或公众号上公告，不另行书面通知。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（一）</w:t>
      </w:r>
      <w:r>
        <w:rPr>
          <w:rFonts w:hint="eastAsia" w:ascii="Times New Roman" w:hAnsi="Times New Roman" w:eastAsia="仿宋_GB2312" w:cs="仿宋_GB2312"/>
          <w:sz w:val="32"/>
          <w:szCs w:val="32"/>
        </w:rPr>
        <w:t>严格按照法律法规、政策的规定以及</w:t>
      </w:r>
      <w:r>
        <w:rPr>
          <w:rFonts w:hint="eastAsia" w:ascii="Times New Roman" w:hAnsi="Times New Roman" w:eastAsia="仿宋_GB2312" w:cs="仿宋_GB2312"/>
          <w:sz w:val="32"/>
          <w:szCs w:val="32"/>
          <w:lang w:val="en-US" w:eastAsia="zh-CN"/>
        </w:rPr>
        <w:t>我</w:t>
      </w:r>
      <w:r>
        <w:rPr>
          <w:rFonts w:hint="eastAsia" w:ascii="Times New Roman" w:hAnsi="Times New Roman" w:eastAsia="仿宋_GB2312" w:cs="仿宋_GB2312"/>
          <w:sz w:val="32"/>
          <w:szCs w:val="32"/>
        </w:rPr>
        <w:t>司有关项目的要求，客观、公正地开展工作，对工作成果的真实性、准确定、完整性、合法性、合理性负责。</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w:t>
      </w:r>
      <w:r>
        <w:rPr>
          <w:rFonts w:hint="eastAsia" w:ascii="Times New Roman" w:hAnsi="Times New Roman" w:eastAsia="仿宋_GB2312" w:cs="仿宋_GB2312"/>
          <w:sz w:val="32"/>
          <w:szCs w:val="32"/>
        </w:rPr>
        <w:t>供应商派出的</w:t>
      </w:r>
      <w:r>
        <w:rPr>
          <w:rFonts w:hint="eastAsia" w:ascii="Times New Roman" w:hAnsi="Times New Roman" w:eastAsia="仿宋_GB2312" w:cs="仿宋_GB2312"/>
          <w:sz w:val="32"/>
          <w:szCs w:val="32"/>
          <w:lang w:val="en-US" w:eastAsia="zh-CN"/>
        </w:rPr>
        <w:t>服务</w:t>
      </w:r>
      <w:r>
        <w:rPr>
          <w:rFonts w:hint="eastAsia" w:ascii="Times New Roman" w:hAnsi="Times New Roman" w:eastAsia="仿宋_GB2312" w:cs="仿宋_GB2312"/>
          <w:sz w:val="32"/>
          <w:szCs w:val="32"/>
        </w:rPr>
        <w:t>团队严格执行国家有关政策规定和相关执业规范，恪守执业道德和执业纪律，具有良好的沟通、协调能力，能够按相关规范要求提供服务，出具意见与解决方案等。</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（三）</w:t>
      </w:r>
      <w:r>
        <w:rPr>
          <w:rFonts w:hint="eastAsia" w:ascii="Times New Roman" w:hAnsi="Times New Roman" w:eastAsia="仿宋_GB2312" w:cs="仿宋_GB2312"/>
          <w:sz w:val="32"/>
          <w:szCs w:val="32"/>
        </w:rPr>
        <w:t>在提供服务期间按照</w:t>
      </w:r>
      <w:r>
        <w:rPr>
          <w:rFonts w:hint="eastAsia" w:ascii="Times New Roman" w:hAnsi="Times New Roman" w:eastAsia="仿宋_GB2312" w:cs="仿宋_GB2312"/>
          <w:sz w:val="32"/>
          <w:szCs w:val="32"/>
          <w:lang w:val="en-US" w:eastAsia="zh-CN"/>
        </w:rPr>
        <w:t>我司</w:t>
      </w:r>
      <w:r>
        <w:rPr>
          <w:rFonts w:hint="eastAsia" w:ascii="Times New Roman" w:hAnsi="Times New Roman" w:eastAsia="仿宋_GB2312" w:cs="仿宋_GB2312"/>
          <w:sz w:val="32"/>
          <w:szCs w:val="32"/>
        </w:rPr>
        <w:t>需求开展工作，严格执行项目管理的有关规定，自觉接受</w:t>
      </w:r>
      <w:r>
        <w:rPr>
          <w:rFonts w:hint="eastAsia" w:ascii="Times New Roman" w:hAnsi="Times New Roman" w:eastAsia="仿宋_GB2312" w:cs="仿宋_GB2312"/>
          <w:sz w:val="32"/>
          <w:szCs w:val="32"/>
          <w:lang w:val="en-US" w:eastAsia="zh-CN"/>
        </w:rPr>
        <w:t>我司</w:t>
      </w:r>
      <w:r>
        <w:rPr>
          <w:rFonts w:hint="eastAsia" w:ascii="Times New Roman" w:hAnsi="Times New Roman" w:eastAsia="仿宋_GB2312" w:cs="仿宋_GB2312"/>
          <w:sz w:val="32"/>
          <w:szCs w:val="32"/>
        </w:rPr>
        <w:t>监督，并遵守廉政、保密等相关纪律。</w:t>
      </w:r>
    </w:p>
    <w:p>
      <w:pPr>
        <w:pStyle w:val="10"/>
        <w:keepNext w:val="0"/>
        <w:keepLines w:val="0"/>
        <w:pageBreakBefore w:val="0"/>
        <w:widowControl/>
        <w:kinsoku/>
        <w:wordWrap w:val="0"/>
        <w:overflowPunct w:val="0"/>
        <w:topLinePunct w:val="0"/>
        <w:autoSpaceDE/>
        <w:autoSpaceDN/>
        <w:bidi w:val="0"/>
        <w:adjustRightInd w:val="0"/>
        <w:snapToGrid w:val="0"/>
        <w:spacing w:after="0" w:line="560" w:lineRule="exact"/>
        <w:ind w:firstLine="643"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b/>
          <w:bCs/>
          <w:sz w:val="32"/>
          <w:szCs w:val="32"/>
          <w:lang w:val="zh-TW" w:eastAsia="zh-CN"/>
        </w:rPr>
        <w:t>（</w:t>
      </w:r>
      <w:r>
        <w:rPr>
          <w:rFonts w:hint="eastAsia" w:ascii="Times New Roman" w:hAnsi="Times New Roman" w:eastAsia="仿宋_GB2312" w:cs="仿宋_GB2312"/>
          <w:b/>
          <w:bCs/>
          <w:sz w:val="32"/>
          <w:szCs w:val="32"/>
          <w:lang w:val="en-US" w:eastAsia="zh-CN"/>
        </w:rPr>
        <w:t>四</w:t>
      </w:r>
      <w:r>
        <w:rPr>
          <w:rFonts w:hint="eastAsia" w:ascii="Times New Roman" w:hAnsi="Times New Roman" w:eastAsia="仿宋_GB2312" w:cs="仿宋_GB2312"/>
          <w:b/>
          <w:bCs/>
          <w:sz w:val="32"/>
          <w:szCs w:val="32"/>
          <w:lang w:val="zh-TW" w:eastAsia="zh-CN"/>
        </w:rPr>
        <w:t>）</w:t>
      </w:r>
      <w:r>
        <w:rPr>
          <w:rFonts w:hint="eastAsia" w:ascii="Times New Roman" w:hAnsi="Times New Roman" w:eastAsia="仿宋_GB2312" w:cs="仿宋_GB2312"/>
          <w:sz w:val="32"/>
          <w:szCs w:val="32"/>
          <w:lang w:val="en-US" w:eastAsia="zh-CN"/>
        </w:rPr>
        <w:t>其他要求参见附件。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（一）获取询价文件的地址、方式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b w:val="0"/>
          <w:bCs w:val="0"/>
          <w:sz w:val="32"/>
          <w:lang w:eastAsia="zh-CN"/>
        </w:rPr>
        <w:t>响应</w:t>
      </w:r>
      <w:r>
        <w:rPr>
          <w:rFonts w:hint="eastAsia" w:ascii="Times New Roman" w:hAnsi="Times New Roman" w:eastAsia="仿宋_GB2312" w:cs="仿宋_GB2312"/>
          <w:b w:val="0"/>
          <w:bCs w:val="0"/>
          <w:kern w:val="0"/>
          <w:sz w:val="32"/>
          <w:szCs w:val="32"/>
          <w:lang w:val="en-US" w:eastAsia="zh-CN"/>
        </w:rPr>
        <w:t>供应商自行前往海南联合资产管理有限公司官网（http://www.hnlhzc.com/）下载询价文件，我司不提供纸质版文件。</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zh-TW" w:eastAsia="zh-TW" w:bidi="ar-SA"/>
        </w:rPr>
      </w:pPr>
      <w:r>
        <w:rPr>
          <w:rFonts w:hint="eastAsia" w:ascii="Times New Roman" w:hAnsi="Times New Roman" w:eastAsia="仿宋_GB2312" w:cs="仿宋_GB2312"/>
          <w:b/>
          <w:bCs/>
          <w:kern w:val="0"/>
          <w:sz w:val="32"/>
          <w:szCs w:val="32"/>
          <w:lang w:val="zh-TW" w:eastAsia="zh-CN" w:bidi="ar-SA"/>
        </w:rPr>
        <w:t>（</w:t>
      </w:r>
      <w:r>
        <w:rPr>
          <w:rFonts w:hint="eastAsia" w:ascii="Times New Roman" w:hAnsi="Times New Roman" w:eastAsia="仿宋_GB2312" w:cs="仿宋_GB2312"/>
          <w:b/>
          <w:bCs/>
          <w:kern w:val="0"/>
          <w:sz w:val="32"/>
          <w:szCs w:val="32"/>
          <w:lang w:val="en-US" w:eastAsia="zh-CN" w:bidi="ar-SA"/>
        </w:rPr>
        <w:t>二</w:t>
      </w:r>
      <w:r>
        <w:rPr>
          <w:rFonts w:hint="eastAsia" w:ascii="Times New Roman" w:hAnsi="Times New Roman" w:eastAsia="仿宋_GB2312" w:cs="仿宋_GB2312"/>
          <w:b/>
          <w:bCs/>
          <w:kern w:val="0"/>
          <w:sz w:val="32"/>
          <w:szCs w:val="32"/>
          <w:lang w:val="zh-TW" w:eastAsia="zh-CN" w:bidi="ar-SA"/>
        </w:rPr>
        <w:t>）资格审查</w:t>
      </w:r>
      <w:r>
        <w:rPr>
          <w:rFonts w:hint="eastAsia" w:ascii="Times New Roman" w:hAnsi="Times New Roman" w:eastAsia="仿宋_GB2312" w:cs="仿宋_GB2312"/>
          <w:b/>
          <w:bCs/>
          <w:kern w:val="0"/>
          <w:sz w:val="32"/>
          <w:szCs w:val="32"/>
          <w:lang w:val="en-US" w:eastAsia="zh-CN" w:bidi="ar-SA"/>
        </w:rPr>
        <w:t>文件提交</w:t>
      </w:r>
      <w:r>
        <w:rPr>
          <w:rFonts w:hint="eastAsia" w:ascii="Times New Roman" w:hAnsi="Times New Roman" w:eastAsia="仿宋_GB2312" w:cs="仿宋_GB2312"/>
          <w:b/>
          <w:bCs/>
          <w:kern w:val="0"/>
          <w:sz w:val="32"/>
          <w:szCs w:val="32"/>
          <w:lang w:val="zh-TW" w:eastAsia="zh-TW" w:bidi="ar-SA"/>
        </w:rPr>
        <w:t>截止时间</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21</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15:00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（三）资格审查时间</w:t>
      </w:r>
    </w:p>
    <w:p>
      <w:pPr>
        <w:keepNext w:val="0"/>
        <w:keepLines w:val="0"/>
        <w:pageBreakBefore w:val="0"/>
        <w:widowControl/>
        <w:numPr>
          <w:ilvl w:val="-1"/>
          <w:numId w:val="0"/>
        </w:numPr>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21</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15:30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（四）报价文件提交截止时间</w:t>
      </w:r>
    </w:p>
    <w:p>
      <w:pPr>
        <w:keepNext w:val="0"/>
        <w:keepLines w:val="0"/>
        <w:pageBreakBefore w:val="0"/>
        <w:widowControl/>
        <w:numPr>
          <w:ilvl w:val="-1"/>
          <w:numId w:val="0"/>
        </w:numPr>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22</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15:00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zh-TW" w:eastAsia="zh-TW" w:bidi="ar-SA"/>
        </w:rPr>
      </w:pPr>
      <w:r>
        <w:rPr>
          <w:rFonts w:hint="eastAsia" w:ascii="Times New Roman" w:hAnsi="Times New Roman" w:eastAsia="仿宋_GB2312" w:cs="仿宋_GB2312"/>
          <w:b/>
          <w:bCs/>
          <w:kern w:val="0"/>
          <w:sz w:val="32"/>
          <w:szCs w:val="32"/>
          <w:lang w:val="en-US" w:eastAsia="zh-CN" w:bidi="ar-SA"/>
        </w:rPr>
        <w:t>（五）现场评审</w:t>
      </w:r>
      <w:r>
        <w:rPr>
          <w:rFonts w:hint="eastAsia" w:ascii="Times New Roman" w:hAnsi="Times New Roman" w:eastAsia="仿宋_GB2312" w:cs="仿宋_GB2312"/>
          <w:b/>
          <w:bCs/>
          <w:kern w:val="0"/>
          <w:sz w:val="32"/>
          <w:szCs w:val="32"/>
          <w:lang w:val="zh-TW" w:eastAsia="zh-TW" w:bidi="ar-SA"/>
        </w:rPr>
        <w:t>时间</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20</w:t>
      </w:r>
      <w:r>
        <w:rPr>
          <w:rFonts w:hint="eastAsia" w:ascii="Times New Roman" w:hAnsi="Times New Roman" w:eastAsia="仿宋_GB2312" w:cs="仿宋_GB2312"/>
          <w:kern w:val="0"/>
          <w:sz w:val="32"/>
          <w:szCs w:val="32"/>
          <w:u w:val="none"/>
          <w:lang w:val="en-US" w:eastAsia="zh-CN"/>
        </w:rPr>
        <w:t>24</w:t>
      </w:r>
      <w:r>
        <w:rPr>
          <w:rFonts w:hint="eastAsia" w:ascii="Times New Roman" w:hAnsi="Times New Roman" w:eastAsia="仿宋_GB2312" w:cs="仿宋_GB2312"/>
          <w:kern w:val="0"/>
          <w:sz w:val="32"/>
          <w:szCs w:val="32"/>
          <w:u w:val="none"/>
          <w:lang w:val="zh-TW" w:eastAsia="zh-TW"/>
        </w:rPr>
        <w:t>年</w:t>
      </w: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eastAsia="仿宋_GB2312" w:cs="仿宋_GB2312"/>
          <w:kern w:val="0"/>
          <w:sz w:val="32"/>
          <w:szCs w:val="32"/>
          <w:u w:val="none"/>
          <w:lang w:val="zh-TW" w:eastAsia="zh-TW"/>
        </w:rPr>
        <w:t>月</w:t>
      </w:r>
      <w:r>
        <w:rPr>
          <w:rFonts w:hint="eastAsia" w:ascii="Times New Roman" w:hAnsi="Times New Roman" w:eastAsia="仿宋_GB2312" w:cs="仿宋_GB2312"/>
          <w:kern w:val="0"/>
          <w:sz w:val="32"/>
          <w:szCs w:val="32"/>
          <w:u w:val="none"/>
          <w:lang w:val="en-US" w:eastAsia="zh-CN"/>
        </w:rPr>
        <w:t>22</w:t>
      </w:r>
      <w:r>
        <w:rPr>
          <w:rFonts w:hint="eastAsia" w:ascii="Times New Roman" w:hAnsi="Times New Roman" w:eastAsia="仿宋_GB2312" w:cs="仿宋_GB2312"/>
          <w:kern w:val="0"/>
          <w:sz w:val="32"/>
          <w:szCs w:val="32"/>
          <w:u w:val="none"/>
          <w:lang w:val="zh-TW" w:eastAsia="zh-TW"/>
        </w:rPr>
        <w:t xml:space="preserve">日 </w:t>
      </w:r>
      <w:r>
        <w:rPr>
          <w:rFonts w:hint="eastAsia" w:ascii="Times New Roman" w:hAnsi="Times New Roman" w:eastAsia="仿宋_GB2312" w:cs="仿宋_GB2312"/>
          <w:kern w:val="0"/>
          <w:sz w:val="32"/>
          <w:szCs w:val="32"/>
          <w:u w:val="none"/>
          <w:lang w:val="en-US" w:eastAsia="zh-CN"/>
        </w:rPr>
        <w:t>15:30</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val="0"/>
        <w:snapToGrid w:val="0"/>
        <w:spacing w:after="0" w:line="560" w:lineRule="exact"/>
        <w:ind w:left="0" w:leftChars="0" w:firstLine="643" w:firstLineChars="200"/>
        <w:jc w:val="both"/>
        <w:textAlignment w:val="auto"/>
        <w:rPr>
          <w:rFonts w:hint="eastAsia" w:ascii="Times New Roman" w:hAnsi="Times New Roman" w:eastAsia="仿宋_GB2312" w:cs="仿宋_GB2312"/>
          <w:b/>
          <w:bCs/>
          <w:kern w:val="0"/>
          <w:sz w:val="32"/>
          <w:szCs w:val="32"/>
          <w:lang w:val="en-US" w:eastAsia="zh-CN" w:bidi="ar-SA"/>
        </w:rPr>
      </w:pPr>
      <w:r>
        <w:rPr>
          <w:rFonts w:hint="eastAsia" w:ascii="Times New Roman" w:hAnsi="Times New Roman" w:eastAsia="仿宋_GB2312" w:cs="仿宋_GB2312"/>
          <w:b/>
          <w:bCs/>
          <w:kern w:val="0"/>
          <w:sz w:val="32"/>
          <w:szCs w:val="32"/>
          <w:lang w:val="en-US" w:eastAsia="zh-CN" w:bidi="ar-SA"/>
        </w:rPr>
        <w:t>（六）响应</w:t>
      </w:r>
      <w:r>
        <w:rPr>
          <w:rFonts w:hint="eastAsia" w:ascii="Times New Roman" w:hAnsi="Times New Roman" w:eastAsia="仿宋_GB2312" w:cs="仿宋_GB2312"/>
          <w:b/>
          <w:bCs/>
          <w:kern w:val="0"/>
          <w:sz w:val="32"/>
          <w:szCs w:val="32"/>
          <w:lang w:val="zh-TW" w:eastAsia="zh-TW" w:bidi="ar-SA"/>
        </w:rPr>
        <w:t>文件送达</w:t>
      </w:r>
      <w:r>
        <w:rPr>
          <w:rFonts w:hint="eastAsia" w:ascii="Times New Roman" w:hAnsi="Times New Roman" w:eastAsia="仿宋_GB2312" w:cs="仿宋_GB2312"/>
          <w:b/>
          <w:bCs/>
          <w:kern w:val="0"/>
          <w:sz w:val="32"/>
          <w:szCs w:val="32"/>
          <w:lang w:val="en-US" w:eastAsia="zh-CN" w:bidi="ar-SA"/>
        </w:rPr>
        <w:t>地址及咨询联系方式</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zh-TW" w:eastAsia="zh-TW"/>
        </w:rPr>
      </w:pPr>
      <w:r>
        <w:rPr>
          <w:rFonts w:hint="eastAsia" w:ascii="Times New Roman" w:hAnsi="Times New Roman" w:eastAsia="仿宋_GB2312" w:cs="仿宋_GB2312"/>
          <w:kern w:val="0"/>
          <w:sz w:val="32"/>
          <w:szCs w:val="32"/>
          <w:u w:val="none"/>
          <w:lang w:val="zh-TW" w:eastAsia="zh-TW"/>
        </w:rPr>
        <w:t>送达</w:t>
      </w:r>
      <w:r>
        <w:rPr>
          <w:rFonts w:hint="eastAsia" w:ascii="Times New Roman" w:hAnsi="Times New Roman" w:eastAsia="仿宋_GB2312" w:cs="仿宋_GB2312"/>
          <w:kern w:val="0"/>
          <w:sz w:val="32"/>
          <w:szCs w:val="32"/>
          <w:u w:val="none"/>
          <w:lang w:val="en-US" w:eastAsia="zh-CN"/>
        </w:rPr>
        <w:t>地址：海南省</w:t>
      </w:r>
      <w:r>
        <w:rPr>
          <w:rFonts w:hint="eastAsia" w:ascii="Times New Roman" w:hAnsi="Times New Roman" w:eastAsia="仿宋_GB2312" w:cs="仿宋_GB2312"/>
          <w:kern w:val="0"/>
          <w:sz w:val="32"/>
          <w:szCs w:val="32"/>
          <w:u w:val="none"/>
          <w:lang w:val="zh-TW" w:eastAsia="zh-TW"/>
        </w:rPr>
        <w:t>海口市滨海大道81号南洋大厦2302室</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zh-TW" w:eastAsia="zh-TW"/>
        </w:rPr>
        <w:t>联</w:t>
      </w:r>
      <w:r>
        <w:rPr>
          <w:rFonts w:hint="eastAsia" w:ascii="Times New Roman" w:hAnsi="Times New Roman" w:eastAsia="仿宋_GB2312" w:cs="仿宋_GB2312"/>
          <w:kern w:val="0"/>
          <w:sz w:val="32"/>
          <w:szCs w:val="32"/>
          <w:u w:val="none"/>
          <w:lang w:val="en-US" w:eastAsia="zh-CN"/>
        </w:rPr>
        <w:t xml:space="preserve"> </w:t>
      </w:r>
      <w:r>
        <w:rPr>
          <w:rFonts w:hint="eastAsia" w:ascii="Times New Roman" w:hAnsi="Times New Roman" w:eastAsia="仿宋_GB2312" w:cs="仿宋_GB2312"/>
          <w:kern w:val="0"/>
          <w:sz w:val="32"/>
          <w:szCs w:val="32"/>
          <w:u w:val="none"/>
          <w:lang w:val="zh-TW" w:eastAsia="zh-TW"/>
        </w:rPr>
        <w:t>系</w:t>
      </w:r>
      <w:r>
        <w:rPr>
          <w:rFonts w:hint="eastAsia" w:ascii="Times New Roman" w:hAnsi="Times New Roman" w:eastAsia="仿宋_GB2312" w:cs="仿宋_GB2312"/>
          <w:kern w:val="0"/>
          <w:sz w:val="32"/>
          <w:szCs w:val="32"/>
          <w:u w:val="none"/>
          <w:lang w:val="en-US" w:eastAsia="zh-CN"/>
        </w:rPr>
        <w:t xml:space="preserve"> </w:t>
      </w:r>
      <w:r>
        <w:rPr>
          <w:rFonts w:hint="eastAsia" w:ascii="Times New Roman" w:hAnsi="Times New Roman" w:eastAsia="仿宋_GB2312" w:cs="仿宋_GB2312"/>
          <w:kern w:val="0"/>
          <w:sz w:val="32"/>
          <w:szCs w:val="32"/>
          <w:u w:val="none"/>
          <w:lang w:val="zh-TW" w:eastAsia="zh-TW"/>
        </w:rPr>
        <w:t>人</w:t>
      </w:r>
      <w:r>
        <w:rPr>
          <w:rFonts w:hint="eastAsia" w:ascii="Times New Roman" w:hAnsi="Times New Roman" w:eastAsia="仿宋_GB2312" w:cs="仿宋_GB2312"/>
          <w:kern w:val="0"/>
          <w:sz w:val="32"/>
          <w:szCs w:val="32"/>
          <w:u w:val="none"/>
          <w:lang w:val="zh-TW" w:eastAsia="zh-CN"/>
        </w:rPr>
        <w:t>：</w:t>
      </w:r>
      <w:r>
        <w:rPr>
          <w:rFonts w:hint="eastAsia" w:ascii="Times New Roman" w:hAnsi="Times New Roman" w:eastAsia="仿宋_GB2312" w:cs="仿宋_GB2312"/>
          <w:kern w:val="0"/>
          <w:sz w:val="32"/>
          <w:szCs w:val="32"/>
          <w:u w:val="none"/>
          <w:lang w:val="en-US" w:eastAsia="zh-CN"/>
        </w:rPr>
        <w:t>兰先生</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联系</w:t>
      </w:r>
      <w:r>
        <w:rPr>
          <w:rFonts w:hint="eastAsia" w:ascii="Times New Roman" w:hAnsi="Times New Roman" w:eastAsia="仿宋_GB2312" w:cs="仿宋_GB2312"/>
          <w:kern w:val="0"/>
          <w:sz w:val="32"/>
          <w:szCs w:val="32"/>
          <w:u w:val="none"/>
          <w:lang w:val="zh-TW" w:eastAsia="zh-TW"/>
        </w:rPr>
        <w:t>电话</w:t>
      </w:r>
      <w:r>
        <w:rPr>
          <w:rFonts w:hint="eastAsia" w:ascii="Times New Roman" w:hAnsi="Times New Roman" w:eastAsia="仿宋_GB2312" w:cs="仿宋_GB2312"/>
          <w:kern w:val="0"/>
          <w:sz w:val="32"/>
          <w:szCs w:val="32"/>
          <w:u w:val="none"/>
          <w:lang w:val="zh-TW" w:eastAsia="zh-CN"/>
        </w:rPr>
        <w:t>：</w:t>
      </w:r>
      <w:r>
        <w:rPr>
          <w:rFonts w:hint="eastAsia" w:ascii="Times New Roman" w:hAnsi="Times New Roman" w:eastAsia="仿宋_GB2312" w:cs="仿宋_GB2312"/>
          <w:kern w:val="0"/>
          <w:sz w:val="32"/>
          <w:szCs w:val="32"/>
          <w:u w:val="none"/>
          <w:lang w:val="en-US" w:eastAsia="zh-CN"/>
        </w:rPr>
        <w:t>18976049920</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Style w:val="11"/>
          <w:rFonts w:hint="default" w:ascii="Times New Roman" w:hAnsi="Times New Roman" w:eastAsia="仿宋_GB2312" w:cs="仿宋_GB2312"/>
          <w:kern w:val="0"/>
          <w:sz w:val="32"/>
          <w:szCs w:val="32"/>
          <w:lang w:val="en-US" w:eastAsia="zh-CN"/>
        </w:rPr>
      </w:pPr>
      <w:r>
        <w:rPr>
          <w:rStyle w:val="11"/>
          <w:rFonts w:hint="eastAsia" w:ascii="Times New Roman" w:hAnsi="Times New Roman" w:eastAsia="仿宋_GB2312" w:cs="仿宋_GB2312"/>
          <w:kern w:val="0"/>
          <w:sz w:val="32"/>
          <w:szCs w:val="32"/>
          <w:lang w:val="en-US" w:eastAsia="zh-CN"/>
        </w:rPr>
        <w:t>9.报价书</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left="0" w:leftChars="0" w:firstLine="640" w:firstLineChars="200"/>
        <w:jc w:val="both"/>
        <w:textAlignment w:val="auto"/>
        <w:rPr>
          <w:rStyle w:val="11"/>
          <w:rFonts w:hint="eastAsia" w:ascii="Times New Roman" w:hAnsi="Times New Roman" w:eastAsia="仿宋_GB2312" w:cs="仿宋_GB2312"/>
          <w:kern w:val="0"/>
          <w:sz w:val="32"/>
          <w:szCs w:val="32"/>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left="0" w:leftChars="0" w:firstLine="640" w:firstLineChars="200"/>
        <w:jc w:val="both"/>
        <w:textAlignment w:val="auto"/>
        <w:rPr>
          <w:rStyle w:val="11"/>
          <w:rFonts w:hint="eastAsia" w:ascii="Times New Roman" w:hAnsi="Times New Roman" w:eastAsia="仿宋_GB2312" w:cs="仿宋_GB2312"/>
          <w:kern w:val="0"/>
          <w:sz w:val="32"/>
          <w:szCs w:val="32"/>
        </w:rPr>
      </w:pPr>
    </w:p>
    <w:p>
      <w:pPr>
        <w:keepNext w:val="0"/>
        <w:keepLines w:val="0"/>
        <w:pageBreakBefore w:val="0"/>
        <w:widowControl/>
        <w:kinsoku/>
        <w:wordWrap w:val="0"/>
        <w:overflowPunct w:val="0"/>
        <w:topLinePunct w:val="0"/>
        <w:autoSpaceDE/>
        <w:autoSpaceDN/>
        <w:bidi w:val="0"/>
        <w:adjustRightInd w:val="0"/>
        <w:snapToGrid w:val="0"/>
        <w:spacing w:after="0" w:line="560" w:lineRule="exact"/>
        <w:ind w:firstLine="640" w:firstLineChars="200"/>
        <w:jc w:val="right"/>
        <w:textAlignment w:val="auto"/>
        <w:rPr>
          <w:rStyle w:val="11"/>
          <w:rFonts w:hint="default" w:ascii="Times New Roman" w:hAnsi="Times New Roman" w:eastAsia="仿宋_GB2312" w:cs="仿宋_GB2312"/>
          <w:kern w:val="0"/>
          <w:sz w:val="32"/>
          <w:szCs w:val="32"/>
          <w:lang w:val="en-US" w:eastAsia="zh-CN"/>
        </w:rPr>
      </w:pPr>
      <w:r>
        <w:rPr>
          <w:rStyle w:val="11"/>
          <w:rFonts w:hint="eastAsia" w:ascii="Times New Roman" w:hAnsi="Times New Roman" w:eastAsia="仿宋_GB2312" w:cs="仿宋_GB2312"/>
          <w:kern w:val="0"/>
          <w:sz w:val="32"/>
          <w:szCs w:val="32"/>
          <w:lang w:val="zh-TW" w:eastAsia="zh-TW"/>
        </w:rPr>
        <w:t>海南联合资产管理有限公司</w:t>
      </w:r>
      <w:r>
        <w:rPr>
          <w:rStyle w:val="11"/>
          <w:rFonts w:hint="eastAsia" w:ascii="Times New Roman" w:hAnsi="Times New Roman" w:eastAsia="仿宋_GB2312" w:cs="仿宋_GB2312"/>
          <w:kern w:val="0"/>
          <w:sz w:val="32"/>
          <w:szCs w:val="32"/>
          <w:lang w:val="en-US" w:eastAsia="zh-CN"/>
        </w:rPr>
        <w:t xml:space="preserve">    </w:t>
      </w:r>
    </w:p>
    <w:p>
      <w:pPr>
        <w:wordWrap w:val="0"/>
        <w:jc w:val="right"/>
        <w:rPr>
          <w:rStyle w:val="11"/>
          <w:rFonts w:hint="default" w:ascii="仿宋_GB2312" w:hAnsi="仿宋_GB2312" w:eastAsia="仿宋_GB2312" w:cs="仿宋_GB2312"/>
          <w:b/>
          <w:bCs/>
          <w:sz w:val="32"/>
          <w:szCs w:val="32"/>
          <w:lang w:val="en-US" w:eastAsia="zh-CN"/>
        </w:rPr>
        <w:sectPr>
          <w:footerReference r:id="rId5" w:type="default"/>
          <w:pgSz w:w="11906" w:h="16838"/>
          <w:pgMar w:top="1440" w:right="1800" w:bottom="1440" w:left="1800" w:header="851" w:footer="992" w:gutter="0"/>
          <w:cols w:space="425" w:num="1"/>
          <w:docGrid w:type="lines" w:linePitch="312" w:charSpace="0"/>
        </w:sectPr>
      </w:pPr>
      <w:r>
        <w:rPr>
          <w:rStyle w:val="11"/>
          <w:rFonts w:hint="eastAsia" w:ascii="Times New Roman" w:hAnsi="Times New Roman" w:eastAsia="仿宋_GB2312" w:cs="仿宋_GB2312"/>
          <w:kern w:val="0"/>
          <w:sz w:val="32"/>
          <w:szCs w:val="32"/>
        </w:rPr>
        <w:t>20</w:t>
      </w:r>
      <w:r>
        <w:rPr>
          <w:rStyle w:val="11"/>
          <w:rFonts w:hint="eastAsia" w:ascii="Times New Roman" w:hAnsi="Times New Roman" w:eastAsia="仿宋_GB2312" w:cs="仿宋_GB2312"/>
          <w:kern w:val="0"/>
          <w:sz w:val="32"/>
          <w:szCs w:val="32"/>
          <w:lang w:val="en-US" w:eastAsia="zh-CN"/>
        </w:rPr>
        <w:t>24</w:t>
      </w:r>
      <w:r>
        <w:rPr>
          <w:rStyle w:val="11"/>
          <w:rFonts w:hint="eastAsia" w:ascii="Times New Roman" w:hAnsi="Times New Roman" w:eastAsia="仿宋_GB2312" w:cs="仿宋_GB2312"/>
          <w:kern w:val="0"/>
          <w:sz w:val="32"/>
          <w:szCs w:val="32"/>
          <w:lang w:val="zh-TW" w:eastAsia="zh-TW"/>
        </w:rPr>
        <w:t>年</w:t>
      </w:r>
      <w:r>
        <w:rPr>
          <w:rStyle w:val="11"/>
          <w:rFonts w:hint="eastAsia" w:ascii="Times New Roman" w:hAnsi="Times New Roman" w:eastAsia="仿宋_GB2312" w:cs="仿宋_GB2312"/>
          <w:kern w:val="0"/>
          <w:sz w:val="32"/>
          <w:szCs w:val="32"/>
          <w:lang w:val="en-US" w:eastAsia="zh-CN"/>
        </w:rPr>
        <w:t>3</w:t>
      </w:r>
      <w:r>
        <w:rPr>
          <w:rStyle w:val="11"/>
          <w:rFonts w:hint="eastAsia" w:ascii="Times New Roman" w:hAnsi="Times New Roman" w:eastAsia="仿宋_GB2312" w:cs="仿宋_GB2312"/>
          <w:kern w:val="0"/>
          <w:sz w:val="32"/>
          <w:szCs w:val="32"/>
          <w:lang w:val="zh-TW" w:eastAsia="zh-TW"/>
        </w:rPr>
        <w:t>月</w:t>
      </w:r>
      <w:r>
        <w:rPr>
          <w:rStyle w:val="11"/>
          <w:rFonts w:hint="eastAsia" w:ascii="Times New Roman" w:hAnsi="Times New Roman" w:eastAsia="仿宋_GB2312" w:cs="仿宋_GB2312"/>
          <w:kern w:val="0"/>
          <w:sz w:val="32"/>
          <w:szCs w:val="32"/>
          <w:lang w:val="en-US" w:eastAsia="zh-CN"/>
        </w:rPr>
        <w:t>12</w:t>
      </w:r>
      <w:bookmarkStart w:id="0" w:name="_GoBack"/>
      <w:bookmarkEnd w:id="0"/>
      <w:r>
        <w:rPr>
          <w:rStyle w:val="11"/>
          <w:rFonts w:hint="eastAsia" w:ascii="Times New Roman" w:hAnsi="Times New Roman" w:eastAsia="仿宋_GB2312" w:cs="仿宋_GB2312"/>
          <w:kern w:val="0"/>
          <w:sz w:val="32"/>
          <w:szCs w:val="32"/>
          <w:lang w:val="zh-TW" w:eastAsia="zh-TW"/>
        </w:rPr>
        <w:t>日</w:t>
      </w:r>
      <w:r>
        <w:rPr>
          <w:rStyle w:val="11"/>
          <w:rFonts w:hint="eastAsia" w:ascii="Times New Roman" w:hAnsi="Times New Roman" w:eastAsia="仿宋_GB2312" w:cs="仿宋_GB2312"/>
          <w:kern w:val="0"/>
          <w:sz w:val="32"/>
          <w:szCs w:val="32"/>
          <w:lang w:val="en-US" w:eastAsia="zh-CN"/>
        </w:rPr>
        <w:t xml:space="preserve">        </w:t>
      </w: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1.依法设立且存续时间3年以上，且近三年每年年检合格，且具有固定的经营办公场所。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2.具有健全的利益冲突、质量控制、内部控制、反商业贿赂和业务协同等制度。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3.近3年内机构或其法定代表人、单位负责人未有行贿犯罪行为。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6.有5名以上专职注册资产评估师，且注册资产评估师执业10年（含）以上的不少于1人。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上述1至6条件要求中，均需提供申报机构的数据。即以分支机构名义申报的，需提供分支机构数据；以总部名义申报的，需提供总部数据。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1.团队人数不少于3人。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3.现场负责人2名，均需具有注册资产评估师证书，且均需执业5年（含）以上。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黑体" w:hAnsi="黑体" w:eastAsia="黑体" w:cs="黑体"/>
          <w:sz w:val="44"/>
          <w:szCs w:val="44"/>
          <w:highlight w:val="none"/>
          <w:lang w:val="en-US" w:eastAsia="zh-CN"/>
        </w:rPr>
      </w:pP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4799" w:type="dxa"/>
        <w:jc w:val="center"/>
        <w:tblLayout w:type="fixed"/>
        <w:tblCellMar>
          <w:top w:w="15" w:type="dxa"/>
          <w:left w:w="15" w:type="dxa"/>
          <w:bottom w:w="15" w:type="dxa"/>
          <w:right w:w="15" w:type="dxa"/>
        </w:tblCellMar>
      </w:tblPr>
      <w:tblGrid>
        <w:gridCol w:w="763"/>
        <w:gridCol w:w="795"/>
        <w:gridCol w:w="3662"/>
        <w:gridCol w:w="4513"/>
        <w:gridCol w:w="3480"/>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近三年每年年检是否合格</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年检公告</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具有健全的利益冲突、质量控制、内部控制、反商业贿赂和业务协同等制度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资产评估机构诚信声明以及相关证明材料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资产评估师协会公示信息截图或其他证明材料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省级资产评估师协会公示信息截图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相关项目的材料证明（评分项）</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相关项目的材料证明（入围条件）</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相关项目的材料证明（入围条件）</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相关项目的材料证明（评分项）</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185"/>
        <w:gridCol w:w="2422"/>
        <w:gridCol w:w="4576"/>
        <w:gridCol w:w="112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业绩证明用途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资产评估机构及服务团队业绩证明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0" w:type="auto"/>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全部响应文件需装订成册并按照以下格式编制：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（三）响应材料一览表（详见附件2）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1.公司情况介绍：包括但不限于基本情况、组织架构、行业荣誉、职业记录和质量控制水平等，并附上资产评估机构基本情况表、诚信声明与服务团队成员名单（详见附件5、6、7）。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包含机构情况、团队人员以及业绩情况等证明材料，并附上业绩情况表（详见附件3）。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3.承诺函（详见附件8）</w:t>
      </w:r>
    </w:p>
    <w:p>
      <w:pPr>
        <w:widowControl w:val="0"/>
        <w:adjustRightInd w:val="0"/>
        <w:snapToGrid w:val="0"/>
        <w:spacing w:after="0" w:line="578" w:lineRule="exact"/>
        <w:ind w:firstLine="64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4.报价书（另附）</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lang w:eastAsia="zh-CN"/>
        </w:rPr>
        <w:t>资产评估机构</w:t>
      </w:r>
      <w:r>
        <w:rPr>
          <w:rFonts w:hint="eastAsia" w:ascii="仿宋_GB2312" w:hAnsi="仿宋_GB2312" w:eastAsia="仿宋_GB2312" w:cs="仿宋_GB2312"/>
          <w:lang w:val="en-US" w:eastAsia="zh-CN"/>
        </w:rPr>
        <w:t>认为需要提交的其他材料</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pStyle w:val="3"/>
        <w:tabs>
          <w:tab w:val="left" w:pos="5580"/>
        </w:tabs>
        <w:spacing w:before="0" w:line="560" w:lineRule="exact"/>
        <w:ind w:firstLine="640" w:firstLineChars="200"/>
        <w:rPr>
          <w:rFonts w:hint="eastAsia" w:ascii="仿宋_GB2312" w:hAnsi="仿宋_GB2312" w:eastAsia="仿宋_GB2312" w:cs="仿宋_GB2312"/>
          <w:sz w:val="32"/>
          <w:szCs w:val="32"/>
          <w:highlight w:val="none"/>
        </w:rPr>
      </w:pP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报 价 书（另附）</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574F58-B93B-4777-9321-FB5C555A4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33D9CF-F7C4-4D72-A773-8F49045C05B2}"/>
  </w:font>
  <w:font w:name="仿宋">
    <w:panose1 w:val="02010609060101010101"/>
    <w:charset w:val="86"/>
    <w:family w:val="modern"/>
    <w:pitch w:val="default"/>
    <w:sig w:usb0="800002BF" w:usb1="38CF7CFA" w:usb2="00000016" w:usb3="00000000" w:csb0="00040001" w:csb1="00000000"/>
    <w:embedRegular r:id="rId3" w:fontKey="{9203B8D0-E498-4A04-8628-C434B7659C38}"/>
  </w:font>
  <w:font w:name="方正小标宋简体">
    <w:panose1 w:val="02000000000000000000"/>
    <w:charset w:val="86"/>
    <w:family w:val="auto"/>
    <w:pitch w:val="default"/>
    <w:sig w:usb0="00000001" w:usb1="08000000" w:usb2="00000000" w:usb3="00000000" w:csb0="00040000" w:csb1="00000000"/>
    <w:embedRegular r:id="rId4" w:fontKey="{A5D67109-0663-42DA-B55D-71D08CE56314}"/>
  </w:font>
  <w:font w:name="仿宋_GB2312">
    <w:panose1 w:val="02010609030101010101"/>
    <w:charset w:val="86"/>
    <w:family w:val="auto"/>
    <w:pitch w:val="default"/>
    <w:sig w:usb0="00000001" w:usb1="080E0000" w:usb2="00000000" w:usb3="00000000" w:csb0="00040000" w:csb1="00000000"/>
    <w:embedRegular r:id="rId5" w:fontKey="{74B9737F-CCF1-4910-B69B-06BDD76C7D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ECF2B6F"/>
    <w:rsid w:val="0EDA7B54"/>
    <w:rsid w:val="0F2C643F"/>
    <w:rsid w:val="10E6279B"/>
    <w:rsid w:val="112765A3"/>
    <w:rsid w:val="11AD3DAC"/>
    <w:rsid w:val="13CA2422"/>
    <w:rsid w:val="15724254"/>
    <w:rsid w:val="20785971"/>
    <w:rsid w:val="208138E6"/>
    <w:rsid w:val="23164EB9"/>
    <w:rsid w:val="24296F2B"/>
    <w:rsid w:val="24CF6FCD"/>
    <w:rsid w:val="251E511F"/>
    <w:rsid w:val="26E61C5A"/>
    <w:rsid w:val="29B32417"/>
    <w:rsid w:val="2CE375C9"/>
    <w:rsid w:val="2D55028C"/>
    <w:rsid w:val="2E98667E"/>
    <w:rsid w:val="2F866958"/>
    <w:rsid w:val="303E5247"/>
    <w:rsid w:val="31993DBF"/>
    <w:rsid w:val="37557240"/>
    <w:rsid w:val="39916502"/>
    <w:rsid w:val="39E9586C"/>
    <w:rsid w:val="3AB27E19"/>
    <w:rsid w:val="3BFE4544"/>
    <w:rsid w:val="41A1628B"/>
    <w:rsid w:val="44595AC2"/>
    <w:rsid w:val="47021C5D"/>
    <w:rsid w:val="47633BE0"/>
    <w:rsid w:val="47D92253"/>
    <w:rsid w:val="4B337A07"/>
    <w:rsid w:val="4B4245C9"/>
    <w:rsid w:val="4C207858"/>
    <w:rsid w:val="54E7737F"/>
    <w:rsid w:val="597E35FA"/>
    <w:rsid w:val="5A5153F1"/>
    <w:rsid w:val="5DF612C9"/>
    <w:rsid w:val="5FF01B99"/>
    <w:rsid w:val="64350636"/>
    <w:rsid w:val="65535367"/>
    <w:rsid w:val="66BD7FD6"/>
    <w:rsid w:val="6808604B"/>
    <w:rsid w:val="6C0C59DE"/>
    <w:rsid w:val="75B226D8"/>
    <w:rsid w:val="76491E2B"/>
    <w:rsid w:val="76C35844"/>
    <w:rsid w:val="78F46839"/>
    <w:rsid w:val="7994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0</TotalTime>
  <ScaleCrop>false</ScaleCrop>
  <LinksUpToDate>false</LinksUpToDate>
  <CharactersWithSpaces>4517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兰天</cp:lastModifiedBy>
  <dcterms:modified xsi:type="dcterms:W3CDTF">2024-03-12T02:53:58Z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94CA6F0688E443EBBD33DAC8AC909AA9_13</vt:lpwstr>
  </property>
</Properties>
</file>