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7C09F">
      <w:pPr>
        <w:jc w:val="both"/>
        <w:rPr>
          <w:rStyle w:val="12"/>
          <w:rFonts w:hint="eastAsia" w:ascii="仿宋_GB2312" w:hAnsi="仿宋_GB2312" w:eastAsia="仿宋_GB2312" w:cs="仿宋_GB2312"/>
          <w:b w:val="0"/>
          <w:bCs w:val="0"/>
          <w:color w:val="auto"/>
          <w:sz w:val="32"/>
          <w:szCs w:val="32"/>
          <w:shd w:val="clear" w:color="auto" w:fill="FFFFFF"/>
        </w:rPr>
      </w:pPr>
      <w:bookmarkStart w:id="5" w:name="_GoBack"/>
      <w:bookmarkEnd w:id="5"/>
      <w:r>
        <w:rPr>
          <w:rStyle w:val="12"/>
          <w:rFonts w:hint="eastAsia" w:ascii="仿宋_GB2312" w:hAnsi="仿宋_GB2312" w:eastAsia="仿宋_GB2312" w:cs="仿宋_GB2312"/>
          <w:b w:val="0"/>
          <w:bCs w:val="0"/>
          <w:color w:val="auto"/>
          <w:sz w:val="32"/>
          <w:szCs w:val="32"/>
          <w:shd w:val="clear" w:color="auto" w:fill="FFFFFF"/>
        </w:rPr>
        <w:t>附件</w:t>
      </w:r>
      <w:r>
        <w:rPr>
          <w:rStyle w:val="12"/>
          <w:rFonts w:hint="eastAsia" w:ascii="仿宋_GB2312" w:hAnsi="仿宋_GB2312" w:eastAsia="仿宋_GB2312" w:cs="仿宋_GB2312"/>
          <w:b w:val="0"/>
          <w:bCs w:val="0"/>
          <w:color w:val="auto"/>
          <w:sz w:val="32"/>
          <w:szCs w:val="32"/>
          <w:shd w:val="clear" w:color="auto" w:fill="FFFFFF"/>
          <w:lang w:val="en-US" w:eastAsia="zh-CN"/>
        </w:rPr>
        <w:t>1</w:t>
      </w:r>
      <w:r>
        <w:rPr>
          <w:rStyle w:val="12"/>
          <w:rFonts w:hint="eastAsia" w:ascii="仿宋_GB2312" w:hAnsi="仿宋_GB2312" w:eastAsia="仿宋_GB2312" w:cs="仿宋_GB2312"/>
          <w:b w:val="0"/>
          <w:bCs w:val="0"/>
          <w:color w:val="auto"/>
          <w:sz w:val="32"/>
          <w:szCs w:val="32"/>
          <w:shd w:val="clear" w:color="auto" w:fill="FFFFFF"/>
        </w:rPr>
        <w:t>：</w:t>
      </w:r>
    </w:p>
    <w:p w14:paraId="638C48AE">
      <w:pPr>
        <w:jc w:val="both"/>
        <w:rPr>
          <w:rStyle w:val="12"/>
          <w:rFonts w:hint="eastAsia" w:ascii="仿宋_GB2312" w:hAnsi="仿宋_GB2312" w:eastAsia="仿宋_GB2312" w:cs="仿宋_GB2312"/>
          <w:color w:val="auto"/>
          <w:sz w:val="32"/>
          <w:szCs w:val="32"/>
          <w:shd w:val="clear" w:color="auto" w:fill="FFFFFF"/>
        </w:rPr>
      </w:pPr>
    </w:p>
    <w:p w14:paraId="3C19574B">
      <w:pPr>
        <w:pStyle w:val="8"/>
        <w:keepNext w:val="0"/>
        <w:keepLines w:val="0"/>
        <w:pageBreakBefore w:val="0"/>
        <w:shd w:val="clear" w:color="auto" w:fill="FFFFFF"/>
        <w:kinsoku/>
        <w:topLinePunct w:val="0"/>
        <w:autoSpaceDE/>
        <w:autoSpaceDN/>
        <w:bidi w:val="0"/>
        <w:spacing w:before="0" w:beforeAutospacing="0" w:after="0" w:afterAutospacing="0" w:line="560" w:lineRule="exact"/>
        <w:jc w:val="center"/>
        <w:textAlignment w:val="auto"/>
        <w:rPr>
          <w:rStyle w:val="12"/>
          <w:rFonts w:hint="eastAsia" w:ascii="方正小标宋简体" w:hAnsi="方正小标宋简体" w:eastAsia="方正小标宋简体" w:cs="方正小标宋简体"/>
          <w:b w:val="0"/>
          <w:bCs w:val="0"/>
          <w:color w:val="auto"/>
          <w:spacing w:val="15"/>
          <w:sz w:val="44"/>
          <w:szCs w:val="44"/>
        </w:rPr>
      </w:pPr>
      <w:r>
        <w:rPr>
          <w:rStyle w:val="12"/>
          <w:rFonts w:hint="eastAsia" w:ascii="方正小标宋简体" w:hAnsi="方正小标宋简体" w:eastAsia="方正小标宋简体" w:cs="方正小标宋简体"/>
          <w:b w:val="0"/>
          <w:bCs w:val="0"/>
          <w:color w:val="auto"/>
          <w:spacing w:val="15"/>
          <w:sz w:val="44"/>
          <w:szCs w:val="44"/>
        </w:rPr>
        <w:t>海南联合资产管理有限公司所属企业</w:t>
      </w:r>
    </w:p>
    <w:p w14:paraId="096909AA">
      <w:pPr>
        <w:pStyle w:val="8"/>
        <w:keepNext w:val="0"/>
        <w:keepLines w:val="0"/>
        <w:pageBreakBefore w:val="0"/>
        <w:shd w:val="clear" w:color="auto" w:fill="FFFFFF"/>
        <w:kinsoku/>
        <w:topLinePunct w:val="0"/>
        <w:autoSpaceDE/>
        <w:autoSpaceDN/>
        <w:bidi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rPr>
      </w:pPr>
      <w:r>
        <w:rPr>
          <w:rStyle w:val="12"/>
          <w:rFonts w:hint="eastAsia" w:ascii="方正小标宋简体" w:hAnsi="方正小标宋简体" w:eastAsia="方正小标宋简体" w:cs="方正小标宋简体"/>
          <w:b w:val="0"/>
          <w:bCs w:val="0"/>
          <w:color w:val="auto"/>
          <w:spacing w:val="15"/>
          <w:sz w:val="44"/>
          <w:szCs w:val="44"/>
        </w:rPr>
        <w:t>公开比选</w:t>
      </w:r>
      <w:r>
        <w:rPr>
          <w:rStyle w:val="12"/>
          <w:rFonts w:hint="eastAsia" w:ascii="方正小标宋简体" w:hAnsi="方正小标宋简体" w:eastAsia="方正小标宋简体" w:cs="方正小标宋简体"/>
          <w:b w:val="0"/>
          <w:bCs w:val="0"/>
          <w:color w:val="auto"/>
          <w:spacing w:val="15"/>
          <w:sz w:val="44"/>
          <w:szCs w:val="44"/>
          <w:lang w:val="en-US" w:eastAsia="zh-CN"/>
        </w:rPr>
        <w:t>诉讼</w:t>
      </w:r>
      <w:r>
        <w:rPr>
          <w:rStyle w:val="12"/>
          <w:rFonts w:hint="eastAsia" w:ascii="方正小标宋简体" w:hAnsi="方正小标宋简体" w:eastAsia="方正小标宋简体" w:cs="方正小标宋简体"/>
          <w:b w:val="0"/>
          <w:bCs w:val="0"/>
          <w:color w:val="auto"/>
          <w:spacing w:val="15"/>
          <w:sz w:val="44"/>
          <w:szCs w:val="44"/>
        </w:rPr>
        <w:t>案件</w:t>
      </w:r>
      <w:r>
        <w:rPr>
          <w:rStyle w:val="12"/>
          <w:rFonts w:hint="eastAsia" w:ascii="方正小标宋简体" w:hAnsi="方正小标宋简体" w:eastAsia="方正小标宋简体" w:cs="方正小标宋简体"/>
          <w:b w:val="0"/>
          <w:bCs w:val="0"/>
          <w:color w:val="auto"/>
          <w:spacing w:val="15"/>
          <w:sz w:val="44"/>
          <w:szCs w:val="44"/>
          <w:lang w:val="en-US" w:eastAsia="zh-CN"/>
        </w:rPr>
        <w:t>外聘</w:t>
      </w:r>
      <w:r>
        <w:rPr>
          <w:rStyle w:val="12"/>
          <w:rFonts w:hint="eastAsia" w:ascii="方正小标宋简体" w:hAnsi="方正小标宋简体" w:eastAsia="方正小标宋简体" w:cs="方正小标宋简体"/>
          <w:b w:val="0"/>
          <w:bCs w:val="0"/>
          <w:color w:val="auto"/>
          <w:spacing w:val="15"/>
          <w:sz w:val="44"/>
          <w:szCs w:val="44"/>
        </w:rPr>
        <w:t>律师事务所</w:t>
      </w:r>
    </w:p>
    <w:p w14:paraId="30B34818">
      <w:pPr>
        <w:pStyle w:val="5"/>
        <w:rPr>
          <w:rFonts w:hint="eastAsia" w:ascii="仿宋_GB2312" w:hAnsi="仿宋_GB2312" w:eastAsia="仿宋_GB2312" w:cs="仿宋_GB2312"/>
          <w:color w:val="auto"/>
          <w:sz w:val="32"/>
          <w:szCs w:val="32"/>
        </w:rPr>
      </w:pPr>
    </w:p>
    <w:p w14:paraId="6FFA2EE2">
      <w:pPr>
        <w:pStyle w:val="5"/>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59264" behindDoc="0" locked="0" layoutInCell="1" allowOverlap="1">
                <wp:simplePos x="0" y="0"/>
                <wp:positionH relativeFrom="column">
                  <wp:posOffset>2113915</wp:posOffset>
                </wp:positionH>
                <wp:positionV relativeFrom="paragraph">
                  <wp:posOffset>198755</wp:posOffset>
                </wp:positionV>
                <wp:extent cx="1045845" cy="2368550"/>
                <wp:effectExtent l="4445" t="5080" r="16510" b="7620"/>
                <wp:wrapNone/>
                <wp:docPr id="1" name="文本框 1"/>
                <wp:cNvGraphicFramePr/>
                <a:graphic xmlns:a="http://schemas.openxmlformats.org/drawingml/2006/main">
                  <a:graphicData uri="http://schemas.microsoft.com/office/word/2010/wordprocessingShape">
                    <wps:wsp>
                      <wps:cNvSpPr txBox="1"/>
                      <wps:spPr>
                        <a:xfrm>
                          <a:off x="3621405" y="2609215"/>
                          <a:ext cx="1045845" cy="23685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7FD990EF">
                            <w:pPr>
                              <w:jc w:val="center"/>
                              <w:rPr>
                                <w:rFonts w:hint="eastAsia" w:ascii="方正小标宋简体" w:hAnsi="方正小标宋简体" w:eastAsia="方正小标宋简体" w:cs="方正小标宋简体"/>
                                <w:b w:val="0"/>
                                <w:bCs w:val="0"/>
                                <w:sz w:val="72"/>
                                <w:szCs w:val="96"/>
                                <w:lang w:val="en-US" w:eastAsia="zh-CN"/>
                              </w:rPr>
                            </w:pPr>
                            <w:r>
                              <w:rPr>
                                <w:rFonts w:hint="eastAsia" w:ascii="方正小标宋简体" w:hAnsi="方正小标宋简体" w:eastAsia="方正小标宋简体" w:cs="方正小标宋简体"/>
                                <w:b w:val="0"/>
                                <w:bCs w:val="0"/>
                                <w:sz w:val="72"/>
                                <w:szCs w:val="96"/>
                                <w:lang w:val="en-US" w:eastAsia="zh-CN"/>
                              </w:rPr>
                              <w:t>比选文件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45pt;margin-top:15.65pt;height:186.5pt;width:82.35pt;z-index:251659264;mso-width-relative:page;mso-height-relative:page;" fillcolor="#FFFFFF [3201]" filled="t" stroked="t" coordsize="21600,21600" o:gfxdata="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dMW&#10;hdUAAAAKAQAADwAAAAAAAAABACAAAAAiAAAAZHJzL2Rvd25yZXYueG1sUEsBAhQAFAAAAAgAh07i&#10;QGAeHZleAgAAxwQAAA4AAAAAAAAAAQAgAAAAJAEAAGRycy9lMm9Eb2MueG1sUEsFBgAAAAAGAAYA&#10;WQEAAPQFAAAAAA==&#10;">
                <v:fill on="t" focussize="0,0"/>
                <v:stroke weight="0.5pt" color="#FFFFFF [3212]" joinstyle="round"/>
                <v:imagedata o:title=""/>
                <o:lock v:ext="edit" aspectratio="f"/>
                <v:textbox style="layout-flow:vertical-ideographic;">
                  <w:txbxContent>
                    <w:p w14:paraId="7FD990EF">
                      <w:pPr>
                        <w:jc w:val="center"/>
                        <w:rPr>
                          <w:rFonts w:hint="eastAsia" w:ascii="方正小标宋简体" w:hAnsi="方正小标宋简体" w:eastAsia="方正小标宋简体" w:cs="方正小标宋简体"/>
                          <w:b w:val="0"/>
                          <w:bCs w:val="0"/>
                          <w:sz w:val="72"/>
                          <w:szCs w:val="96"/>
                          <w:lang w:val="en-US" w:eastAsia="zh-CN"/>
                        </w:rPr>
                      </w:pPr>
                      <w:r>
                        <w:rPr>
                          <w:rFonts w:hint="eastAsia" w:ascii="方正小标宋简体" w:hAnsi="方正小标宋简体" w:eastAsia="方正小标宋简体" w:cs="方正小标宋简体"/>
                          <w:b w:val="0"/>
                          <w:bCs w:val="0"/>
                          <w:sz w:val="72"/>
                          <w:szCs w:val="96"/>
                          <w:lang w:val="en-US" w:eastAsia="zh-CN"/>
                        </w:rPr>
                        <w:t>比选文件</w:t>
                      </w:r>
                    </w:p>
                  </w:txbxContent>
                </v:textbox>
              </v:shape>
            </w:pict>
          </mc:Fallback>
        </mc:AlternateContent>
      </w:r>
    </w:p>
    <w:p w14:paraId="7C8BAEB6">
      <w:pPr>
        <w:jc w:val="center"/>
        <w:rPr>
          <w:rFonts w:hint="eastAsia" w:ascii="仿宋_GB2312" w:hAnsi="仿宋_GB2312" w:eastAsia="仿宋_GB2312" w:cs="仿宋_GB2312"/>
          <w:b/>
          <w:color w:val="auto"/>
          <w:sz w:val="32"/>
          <w:szCs w:val="32"/>
        </w:rPr>
      </w:pPr>
    </w:p>
    <w:p w14:paraId="1DC95E35">
      <w:pPr>
        <w:jc w:val="both"/>
        <w:rPr>
          <w:rFonts w:hint="eastAsia" w:ascii="仿宋_GB2312" w:hAnsi="仿宋_GB2312" w:eastAsia="仿宋_GB2312" w:cs="仿宋_GB2312"/>
          <w:color w:val="auto"/>
          <w:sz w:val="32"/>
          <w:szCs w:val="32"/>
          <w:shd w:val="clear" w:color="auto" w:fill="FFFFFF"/>
        </w:rPr>
      </w:pPr>
    </w:p>
    <w:p w14:paraId="462175F2">
      <w:pPr>
        <w:jc w:val="both"/>
        <w:rPr>
          <w:rFonts w:hint="eastAsia" w:ascii="仿宋_GB2312" w:hAnsi="仿宋_GB2312" w:eastAsia="仿宋_GB2312" w:cs="仿宋_GB2312"/>
          <w:color w:val="auto"/>
          <w:sz w:val="32"/>
          <w:szCs w:val="32"/>
          <w:shd w:val="clear" w:color="auto" w:fill="FFFFFF"/>
        </w:rPr>
      </w:pPr>
    </w:p>
    <w:p w14:paraId="07A4A0EF">
      <w:pPr>
        <w:jc w:val="both"/>
        <w:rPr>
          <w:rFonts w:hint="eastAsia" w:ascii="仿宋_GB2312" w:hAnsi="仿宋_GB2312" w:eastAsia="仿宋_GB2312" w:cs="仿宋_GB2312"/>
          <w:color w:val="auto"/>
          <w:sz w:val="32"/>
          <w:szCs w:val="32"/>
          <w:shd w:val="clear" w:color="auto" w:fill="FFFFFF"/>
        </w:rPr>
      </w:pPr>
    </w:p>
    <w:p w14:paraId="0013F70B">
      <w:pPr>
        <w:jc w:val="both"/>
        <w:rPr>
          <w:rFonts w:hint="eastAsia" w:ascii="仿宋_GB2312" w:hAnsi="仿宋_GB2312" w:eastAsia="仿宋_GB2312" w:cs="仿宋_GB2312"/>
          <w:color w:val="auto"/>
          <w:sz w:val="32"/>
          <w:szCs w:val="32"/>
          <w:shd w:val="clear" w:color="auto" w:fill="FFFFFF"/>
        </w:rPr>
      </w:pPr>
    </w:p>
    <w:p w14:paraId="342293AC">
      <w:pPr>
        <w:jc w:val="both"/>
        <w:rPr>
          <w:rFonts w:hint="eastAsia" w:ascii="仿宋_GB2312" w:hAnsi="仿宋_GB2312" w:eastAsia="仿宋_GB2312" w:cs="仿宋_GB2312"/>
          <w:color w:val="auto"/>
          <w:sz w:val="32"/>
          <w:szCs w:val="32"/>
          <w:shd w:val="clear" w:color="auto" w:fill="FFFFFF"/>
        </w:rPr>
      </w:pPr>
    </w:p>
    <w:p w14:paraId="3C22A37A">
      <w:pPr>
        <w:jc w:val="both"/>
        <w:rPr>
          <w:rFonts w:hint="eastAsia" w:ascii="仿宋_GB2312" w:hAnsi="仿宋_GB2312" w:eastAsia="仿宋_GB2312" w:cs="仿宋_GB2312"/>
          <w:color w:val="auto"/>
          <w:sz w:val="32"/>
          <w:szCs w:val="32"/>
          <w:shd w:val="clear" w:color="auto" w:fill="FFFFFF"/>
        </w:rPr>
      </w:pPr>
    </w:p>
    <w:p w14:paraId="426B85DD">
      <w:pPr>
        <w:jc w:val="both"/>
        <w:rPr>
          <w:rFonts w:hint="eastAsia" w:ascii="仿宋_GB2312" w:hAnsi="仿宋_GB2312" w:eastAsia="仿宋_GB2312" w:cs="仿宋_GB2312"/>
          <w:color w:val="auto"/>
          <w:sz w:val="32"/>
          <w:szCs w:val="32"/>
          <w:shd w:val="clear" w:color="auto" w:fill="FFFFFF"/>
        </w:rPr>
      </w:pPr>
    </w:p>
    <w:p w14:paraId="11045B6C">
      <w:pPr>
        <w:jc w:val="both"/>
        <w:rPr>
          <w:rFonts w:hint="eastAsia" w:ascii="仿宋_GB2312" w:hAnsi="仿宋_GB2312" w:eastAsia="仿宋_GB2312" w:cs="仿宋_GB2312"/>
          <w:color w:val="auto"/>
          <w:sz w:val="32"/>
          <w:szCs w:val="32"/>
          <w:shd w:val="clear" w:color="auto" w:fill="FFFFFF"/>
        </w:rPr>
      </w:pPr>
    </w:p>
    <w:p w14:paraId="68398848">
      <w:pPr>
        <w:jc w:val="both"/>
        <w:rPr>
          <w:rFonts w:hint="eastAsia" w:ascii="仿宋_GB2312" w:hAnsi="仿宋_GB2312" w:eastAsia="仿宋_GB2312" w:cs="仿宋_GB2312"/>
          <w:color w:val="auto"/>
          <w:sz w:val="32"/>
          <w:szCs w:val="32"/>
          <w:shd w:val="clear" w:color="auto" w:fill="FFFFFF"/>
        </w:rPr>
      </w:pPr>
    </w:p>
    <w:p w14:paraId="5316607B">
      <w:pPr>
        <w:keepNext w:val="0"/>
        <w:keepLines w:val="0"/>
        <w:pageBreakBefore w:val="0"/>
        <w:widowControl/>
        <w:shd w:val="clear" w:color="auto" w:fill="FFFFFF"/>
        <w:kinsoku/>
        <w:wordWrap w:val="0"/>
        <w:overflowPunct w:val="0"/>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TW" w:eastAsia="zh-TW"/>
        </w:rPr>
        <w:t>海南联合资产管理有限公司</w:t>
      </w:r>
    </w:p>
    <w:p w14:paraId="11890070">
      <w:pPr>
        <w:keepNext w:val="0"/>
        <w:keepLines w:val="0"/>
        <w:pageBreakBefore w:val="0"/>
        <w:widowControl/>
        <w:shd w:val="clear" w:color="auto" w:fill="FFFFFF"/>
        <w:kinsoku/>
        <w:wordWrap w:val="0"/>
        <w:overflowPunct w:val="0"/>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zh-TW" w:eastAsia="zh-TW"/>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TW" w:eastAsia="zh-TW"/>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zh-TW" w:eastAsia="zh-TW"/>
        </w:rPr>
        <w:t>日</w:t>
      </w:r>
    </w:p>
    <w:p w14:paraId="27575D7C">
      <w:pPr>
        <w:rPr>
          <w:rFonts w:hint="eastAsia" w:ascii="仿宋_GB2312" w:hAnsi="仿宋_GB2312" w:eastAsia="仿宋_GB2312" w:cs="仿宋_GB2312"/>
          <w:color w:val="auto"/>
          <w:sz w:val="32"/>
          <w:szCs w:val="32"/>
        </w:rPr>
      </w:pPr>
      <w:bookmarkStart w:id="0" w:name="_Toc427239183"/>
      <w:r>
        <w:rPr>
          <w:rFonts w:hint="eastAsia" w:ascii="仿宋_GB2312" w:hAnsi="仿宋_GB2312" w:eastAsia="仿宋_GB2312" w:cs="仿宋_GB2312"/>
          <w:color w:val="auto"/>
          <w:sz w:val="32"/>
          <w:szCs w:val="32"/>
        </w:rPr>
        <w:br w:type="page"/>
      </w:r>
    </w:p>
    <w:p w14:paraId="35C35F53">
      <w:pPr>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注意事项</w:t>
      </w:r>
    </w:p>
    <w:p w14:paraId="3AD559B4">
      <w:pPr>
        <w:rPr>
          <w:rFonts w:hint="eastAsia" w:ascii="仿宋_GB2312" w:hAnsi="仿宋_GB2312" w:eastAsia="仿宋_GB2312" w:cs="仿宋_GB2312"/>
          <w:color w:val="auto"/>
          <w:sz w:val="32"/>
          <w:szCs w:val="32"/>
          <w:lang w:val="en-US" w:eastAsia="zh-CN"/>
        </w:rPr>
      </w:pPr>
    </w:p>
    <w:p w14:paraId="2FBE1102">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1.参选供应商领取诉讼案件材料时，请携带本单位执业许可证、</w:t>
      </w:r>
      <w:r>
        <w:rPr>
          <w:rFonts w:hint="eastAsia" w:ascii="仿宋_GB2312" w:hAnsi="仿宋_GB2312" w:eastAsia="仿宋_GB2312" w:cs="仿宋_GB2312"/>
          <w:color w:val="auto"/>
          <w:sz w:val="32"/>
          <w:szCs w:val="32"/>
        </w:rPr>
        <w:t>法定代表人身份证明书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法定代表人身份证复印件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授权委托书、委托</w:t>
      </w:r>
      <w:r>
        <w:rPr>
          <w:rFonts w:hint="eastAsia" w:ascii="仿宋_GB2312" w:hAnsi="仿宋_GB2312" w:eastAsia="仿宋_GB2312" w:cs="仿宋_GB2312"/>
          <w:color w:val="auto"/>
          <w:sz w:val="32"/>
          <w:szCs w:val="32"/>
        </w:rPr>
        <w:t>代理人身份证复印件</w:t>
      </w:r>
      <w:r>
        <w:rPr>
          <w:rFonts w:hint="eastAsia" w:ascii="仿宋_GB2312" w:hAnsi="仿宋_GB2312" w:eastAsia="仿宋_GB2312" w:cs="仿宋_GB2312"/>
          <w:color w:val="auto"/>
          <w:sz w:val="32"/>
          <w:szCs w:val="32"/>
          <w:lang w:val="en-US" w:eastAsia="zh-CN"/>
        </w:rPr>
        <w:t>等证明文件，并提交承诺函，均需加盖单位公章。</w:t>
      </w:r>
    </w:p>
    <w:p w14:paraId="04B68AC7">
      <w:pPr>
        <w:rPr>
          <w:rFonts w:hint="eastAsia" w:ascii="仿宋_GB2312" w:hAnsi="仿宋_GB2312" w:eastAsia="仿宋_GB2312" w:cs="仿宋_GB2312"/>
          <w:color w:val="auto"/>
          <w:sz w:val="32"/>
          <w:szCs w:val="32"/>
          <w:lang w:val="en-US" w:eastAsia="zh-CN"/>
        </w:rPr>
      </w:pPr>
    </w:p>
    <w:p w14:paraId="7B32694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4620E7FB">
      <w:pPr>
        <w:pStyle w:val="3"/>
        <w:pageBreakBefore w:val="0"/>
        <w:widowControl w:val="0"/>
        <w:numPr>
          <w:ilvl w:val="0"/>
          <w:numId w:val="0"/>
        </w:numPr>
        <w:kinsoku/>
        <w:wordWrap/>
        <w:overflowPunct/>
        <w:topLinePunct w:val="0"/>
        <w:autoSpaceDE/>
        <w:autoSpaceDN/>
        <w:bidi w:val="0"/>
        <w:adjustRightInd/>
        <w:snapToGrid/>
        <w:spacing w:before="0" w:after="0" w:line="240" w:lineRule="auto"/>
        <w:ind w:left="0"/>
        <w:jc w:val="center"/>
        <w:textAlignment w:val="auto"/>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color w:val="auto"/>
          <w:sz w:val="32"/>
          <w:szCs w:val="32"/>
        </w:rPr>
        <w:t>一、</w:t>
      </w:r>
      <w:bookmarkEnd w:id="0"/>
      <w:r>
        <w:rPr>
          <w:rFonts w:hint="eastAsia" w:ascii="仿宋_GB2312" w:hAnsi="仿宋_GB2312" w:eastAsia="仿宋_GB2312" w:cs="仿宋_GB2312"/>
          <w:color w:val="auto"/>
          <w:sz w:val="32"/>
          <w:szCs w:val="32"/>
        </w:rPr>
        <w:t>承</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诺</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函</w:t>
      </w:r>
    </w:p>
    <w:p w14:paraId="052A8D51">
      <w:pPr>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z w:val="32"/>
          <w:szCs w:val="32"/>
          <w:shd w:val="clear" w:color="auto" w:fill="FFFFFF"/>
        </w:rPr>
      </w:pPr>
    </w:p>
    <w:p w14:paraId="14A8D06C">
      <w:pPr>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海南联合资产管理有限公司：</w:t>
      </w:r>
    </w:p>
    <w:p w14:paraId="6A3406B3">
      <w:pPr>
        <w:pageBreakBefore w:val="0"/>
        <w:widowControl w:val="0"/>
        <w:kinsoku/>
        <w:wordWrap/>
        <w:overflowPunct/>
        <w:topLinePunct w:val="0"/>
        <w:autoSpaceDE/>
        <w:autoSpaceDN/>
        <w:bidi w:val="0"/>
        <w:adjustRightInd/>
        <w:snapToGrid/>
        <w:ind w:left="0" w:firstLine="755" w:firstLineChars="236"/>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我单位全面研究了</w:t>
      </w:r>
      <w:r>
        <w:rPr>
          <w:rFonts w:hint="eastAsia" w:ascii="仿宋_GB2312" w:hAnsi="仿宋_GB2312" w:eastAsia="仿宋_GB2312" w:cs="仿宋_GB2312"/>
          <w:color w:val="auto"/>
          <w:sz w:val="32"/>
          <w:szCs w:val="32"/>
          <w:u w:val="single"/>
          <w:shd w:val="clear" w:color="auto" w:fill="FFFFFF"/>
          <w:lang w:val="en-US" w:eastAsia="zh-CN"/>
        </w:rPr>
        <w:t>海南联合资产管理有限公司所属企业公开比选诉讼案件外聘律师事务所</w:t>
      </w:r>
      <w:r>
        <w:rPr>
          <w:rFonts w:hint="eastAsia" w:ascii="仿宋_GB2312" w:hAnsi="仿宋_GB2312" w:eastAsia="仿宋_GB2312" w:cs="仿宋_GB2312"/>
          <w:color w:val="auto"/>
          <w:sz w:val="32"/>
          <w:szCs w:val="32"/>
          <w:shd w:val="clear" w:color="auto" w:fill="FFFFFF"/>
        </w:rPr>
        <w:t>的比选要求后，我单位自愿参与该项目的比选活动，并</w:t>
      </w:r>
      <w:r>
        <w:rPr>
          <w:rFonts w:hint="eastAsia" w:ascii="仿宋_GB2312" w:hAnsi="仿宋_GB2312" w:eastAsia="仿宋_GB2312" w:cs="仿宋_GB2312"/>
          <w:color w:val="auto"/>
          <w:sz w:val="32"/>
          <w:szCs w:val="32"/>
          <w:shd w:val="clear" w:color="auto" w:fill="FFFFFF"/>
          <w:lang w:val="en-US" w:eastAsia="zh-CN"/>
        </w:rPr>
        <w:t>作出如下</w:t>
      </w:r>
      <w:r>
        <w:rPr>
          <w:rFonts w:hint="eastAsia" w:ascii="仿宋_GB2312" w:hAnsi="仿宋_GB2312" w:eastAsia="仿宋_GB2312" w:cs="仿宋_GB2312"/>
          <w:color w:val="auto"/>
          <w:sz w:val="32"/>
          <w:szCs w:val="32"/>
          <w:shd w:val="clear" w:color="auto" w:fill="FFFFFF"/>
        </w:rPr>
        <w:t>承诺</w:t>
      </w:r>
      <w:r>
        <w:rPr>
          <w:rFonts w:hint="eastAsia" w:ascii="仿宋_GB2312" w:hAnsi="仿宋_GB2312" w:eastAsia="仿宋_GB2312" w:cs="仿宋_GB2312"/>
          <w:color w:val="auto"/>
          <w:sz w:val="32"/>
          <w:szCs w:val="32"/>
          <w:shd w:val="clear" w:color="auto" w:fill="FFFFFF"/>
          <w:lang w:eastAsia="zh-CN"/>
        </w:rPr>
        <w:t>：</w:t>
      </w:r>
    </w:p>
    <w:p w14:paraId="2036DB88">
      <w:pPr>
        <w:pageBreakBefore w:val="0"/>
        <w:widowControl w:val="0"/>
        <w:kinsoku/>
        <w:wordWrap/>
        <w:overflowPunct/>
        <w:topLinePunct w:val="0"/>
        <w:autoSpaceDE/>
        <w:autoSpaceDN/>
        <w:bidi w:val="0"/>
        <w:adjustRightInd/>
        <w:snapToGrid/>
        <w:ind w:left="0" w:firstLine="755" w:firstLineChars="236"/>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1、我单位已详细阅读并完全理解比选要求的全部内容，包括补充文件（如涉及）。</w:t>
      </w:r>
    </w:p>
    <w:p w14:paraId="35CA3377">
      <w:pPr>
        <w:pageBreakBefore w:val="0"/>
        <w:widowControl w:val="0"/>
        <w:kinsoku/>
        <w:wordWrap/>
        <w:overflowPunct/>
        <w:topLinePunct w:val="0"/>
        <w:autoSpaceDE/>
        <w:autoSpaceDN/>
        <w:bidi w:val="0"/>
        <w:adjustRightInd/>
        <w:snapToGrid/>
        <w:ind w:left="0" w:firstLine="755" w:firstLineChars="236"/>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2、我单位中选入围，将完全服从</w:t>
      </w:r>
      <w:r>
        <w:rPr>
          <w:rFonts w:hint="eastAsia" w:ascii="仿宋_GB2312" w:hAnsi="仿宋_GB2312" w:eastAsia="仿宋_GB2312" w:cs="仿宋_GB2312"/>
          <w:color w:val="auto"/>
          <w:sz w:val="32"/>
          <w:szCs w:val="32"/>
          <w:shd w:val="clear" w:color="auto" w:fill="FFFFFF"/>
          <w:lang w:val="en-US" w:eastAsia="zh-CN"/>
        </w:rPr>
        <w:t>采购方</w:t>
      </w:r>
      <w:r>
        <w:rPr>
          <w:rFonts w:hint="eastAsia" w:ascii="仿宋_GB2312" w:hAnsi="仿宋_GB2312" w:eastAsia="仿宋_GB2312" w:cs="仿宋_GB2312"/>
          <w:color w:val="auto"/>
          <w:sz w:val="32"/>
          <w:szCs w:val="32"/>
          <w:shd w:val="clear" w:color="auto" w:fill="FFFFFF"/>
        </w:rPr>
        <w:t>的工作安排和业务分配，并自行承担可能分配不到业务的风险。</w:t>
      </w:r>
    </w:p>
    <w:p w14:paraId="4892F0BF">
      <w:pPr>
        <w:pageBreakBefore w:val="0"/>
        <w:widowControl w:val="0"/>
        <w:kinsoku/>
        <w:wordWrap/>
        <w:overflowPunct/>
        <w:topLinePunct w:val="0"/>
        <w:autoSpaceDE/>
        <w:autoSpaceDN/>
        <w:bidi w:val="0"/>
        <w:adjustRightInd/>
        <w:snapToGrid/>
        <w:ind w:left="0" w:firstLine="755" w:firstLineChars="236"/>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3、我单位自愿提供的与比选有关的所有文件资料，并保证已提供和将要提供的文件资料是真实、准确的。</w:t>
      </w:r>
    </w:p>
    <w:p w14:paraId="53B546B7">
      <w:pPr>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4、我</w:t>
      </w:r>
      <w:r>
        <w:rPr>
          <w:rFonts w:hint="eastAsia" w:ascii="仿宋_GB2312" w:hAnsi="仿宋_GB2312" w:eastAsia="仿宋_GB2312" w:cs="仿宋_GB2312"/>
          <w:color w:val="auto"/>
          <w:sz w:val="32"/>
          <w:szCs w:val="32"/>
          <w:shd w:val="clear" w:color="auto" w:fill="FFFFFF"/>
        </w:rPr>
        <w:t>单位</w:t>
      </w:r>
      <w:r>
        <w:rPr>
          <w:rFonts w:hint="eastAsia" w:ascii="仿宋_GB2312" w:hAnsi="仿宋_GB2312" w:eastAsia="仿宋_GB2312" w:cs="仿宋_GB2312"/>
          <w:color w:val="auto"/>
          <w:sz w:val="32"/>
          <w:szCs w:val="32"/>
          <w:shd w:val="clear" w:color="auto" w:fill="FFFFFF"/>
          <w:lang w:val="en-US" w:eastAsia="zh-CN"/>
        </w:rPr>
        <w:t>承诺对接收的诉讼案件材料保密，造成泄密的，自愿承担一切责任，并赔偿采购方所有损失。</w:t>
      </w:r>
    </w:p>
    <w:p w14:paraId="0FF6557F">
      <w:pPr>
        <w:pageBreakBefore w:val="0"/>
        <w:widowControl w:val="0"/>
        <w:kinsoku/>
        <w:wordWrap/>
        <w:overflowPunct/>
        <w:topLinePunct w:val="0"/>
        <w:autoSpaceDE/>
        <w:autoSpaceDN/>
        <w:bidi w:val="0"/>
        <w:adjustRightInd/>
        <w:snapToGrid/>
        <w:ind w:left="0" w:firstLine="640" w:firstLineChars="200"/>
        <w:textAlignment w:val="auto"/>
        <w:rPr>
          <w:rFonts w:hint="default" w:ascii="仿宋_GB2312" w:hAnsi="仿宋_GB2312" w:eastAsia="仿宋_GB2312" w:cs="仿宋_GB2312"/>
          <w:color w:val="auto"/>
          <w:sz w:val="32"/>
          <w:szCs w:val="32"/>
          <w:shd w:val="clear" w:color="auto" w:fill="FFFFFF"/>
          <w:lang w:val="en-US" w:eastAsia="zh-CN"/>
        </w:rPr>
      </w:pPr>
    </w:p>
    <w:p w14:paraId="4C4EEA6F">
      <w:pPr>
        <w:pageBreakBefore w:val="0"/>
        <w:widowControl w:val="0"/>
        <w:kinsoku/>
        <w:wordWrap/>
        <w:overflowPunct/>
        <w:topLinePunct w:val="0"/>
        <w:autoSpaceDE/>
        <w:autoSpaceDN/>
        <w:bidi w:val="0"/>
        <w:adjustRightInd/>
        <w:snapToGrid/>
        <w:ind w:left="0" w:firstLine="3200" w:firstLineChars="10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供应商：</w:t>
      </w:r>
      <w:r>
        <w:rPr>
          <w:rFonts w:hint="eastAsia" w:ascii="仿宋_GB2312" w:hAnsi="仿宋_GB2312" w:eastAsia="仿宋_GB2312" w:cs="仿宋_GB2312"/>
          <w:color w:val="auto"/>
          <w:sz w:val="32"/>
          <w:szCs w:val="32"/>
          <w:shd w:val="clear" w:color="auto" w:fill="FFFFFF"/>
        </w:rPr>
        <w:t>（全称并加盖单位公章）</w:t>
      </w:r>
    </w:p>
    <w:p w14:paraId="1920A6F5">
      <w:pPr>
        <w:pageBreakBefore w:val="0"/>
        <w:widowControl w:val="0"/>
        <w:kinsoku/>
        <w:wordWrap/>
        <w:overflowPunct/>
        <w:topLinePunct w:val="0"/>
        <w:autoSpaceDE/>
        <w:autoSpaceDN/>
        <w:bidi w:val="0"/>
        <w:adjustRightInd/>
        <w:snapToGrid/>
        <w:ind w:left="0" w:firstLine="3200" w:firstLineChars="10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法定代表人：(签字或盖章)</w:t>
      </w:r>
    </w:p>
    <w:p w14:paraId="36AC25FE">
      <w:pPr>
        <w:pageBreakBefore w:val="0"/>
        <w:widowControl w:val="0"/>
        <w:kinsoku/>
        <w:wordWrap/>
        <w:overflowPunct/>
        <w:topLinePunct w:val="0"/>
        <w:autoSpaceDE/>
        <w:autoSpaceDN/>
        <w:bidi w:val="0"/>
        <w:adjustRightInd/>
        <w:snapToGrid/>
        <w:ind w:left="0" w:firstLine="3200" w:firstLineChars="10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期：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   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p>
    <w:p w14:paraId="34663EF3">
      <w:pPr>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24541017">
      <w:pPr>
        <w:pStyle w:val="3"/>
        <w:pageBreakBefore w:val="0"/>
        <w:widowControl w:val="0"/>
        <w:numPr>
          <w:ilvl w:val="0"/>
          <w:numId w:val="0"/>
        </w:numPr>
        <w:kinsoku/>
        <w:wordWrap/>
        <w:overflowPunct/>
        <w:topLinePunct w:val="0"/>
        <w:autoSpaceDE/>
        <w:autoSpaceDN/>
        <w:bidi w:val="0"/>
        <w:adjustRightInd/>
        <w:snapToGrid/>
        <w:spacing w:before="0" w:after="0" w:line="240" w:lineRule="auto"/>
        <w:ind w:left="0" w:hanging="567"/>
        <w:jc w:val="center"/>
        <w:textAlignment w:val="auto"/>
        <w:rPr>
          <w:rFonts w:hint="eastAsia" w:ascii="仿宋_GB2312" w:hAnsi="仿宋_GB2312" w:eastAsia="仿宋_GB2312" w:cs="仿宋_GB2312"/>
          <w:color w:val="auto"/>
          <w:sz w:val="32"/>
          <w:szCs w:val="32"/>
        </w:rPr>
      </w:pPr>
      <w:bookmarkStart w:id="1" w:name="_Toc427239184"/>
      <w:r>
        <w:rPr>
          <w:rFonts w:hint="eastAsia" w:ascii="仿宋_GB2312" w:hAnsi="仿宋_GB2312" w:eastAsia="仿宋_GB2312" w:cs="仿宋_GB2312"/>
          <w:color w:val="auto"/>
          <w:sz w:val="32"/>
          <w:szCs w:val="32"/>
        </w:rPr>
        <w:t>二、法定代表人身份证明书</w:t>
      </w:r>
      <w:bookmarkEnd w:id="1"/>
    </w:p>
    <w:p w14:paraId="286D3BFD">
      <w:pPr>
        <w:pageBreakBefore w:val="0"/>
        <w:widowControl w:val="0"/>
        <w:kinsoku/>
        <w:wordWrap/>
        <w:overflowPunct/>
        <w:topLinePunct w:val="0"/>
        <w:autoSpaceDE/>
        <w:autoSpaceDN/>
        <w:bidi w:val="0"/>
        <w:adjustRightInd/>
        <w:snapToGrid/>
        <w:ind w:left="0"/>
        <w:jc w:val="both"/>
        <w:textAlignment w:val="auto"/>
        <w:rPr>
          <w:rFonts w:hint="eastAsia" w:ascii="仿宋_GB2312" w:hAnsi="仿宋_GB2312" w:eastAsia="仿宋_GB2312" w:cs="仿宋_GB2312"/>
          <w:color w:val="auto"/>
          <w:sz w:val="32"/>
          <w:szCs w:val="32"/>
        </w:rPr>
      </w:pPr>
    </w:p>
    <w:p w14:paraId="6BB7544B">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单位名称:</w:t>
      </w:r>
    </w:p>
    <w:p w14:paraId="496D3194">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单位性质:</w:t>
      </w:r>
    </w:p>
    <w:p w14:paraId="0A9384C4">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    址:</w:t>
      </w:r>
    </w:p>
    <w:p w14:paraId="35259412">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成立时间: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p>
    <w:p w14:paraId="3D5D6DD3">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经营期限:</w:t>
      </w:r>
    </w:p>
    <w:p w14:paraId="1CBB01DC">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姓 名:     性 别:     年 龄:       职 务:</w:t>
      </w:r>
    </w:p>
    <w:p w14:paraId="15E3D2FC">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u w:val="single"/>
        </w:rPr>
        <w:t xml:space="preserve">    （申请单位名称）     </w:t>
      </w:r>
      <w:r>
        <w:rPr>
          <w:rFonts w:hint="eastAsia" w:ascii="仿宋_GB2312" w:hAnsi="仿宋_GB2312" w:eastAsia="仿宋_GB2312" w:cs="仿宋_GB2312"/>
          <w:color w:val="auto"/>
          <w:sz w:val="32"/>
          <w:szCs w:val="32"/>
        </w:rPr>
        <w:t>的法定代表人。</w:t>
      </w:r>
    </w:p>
    <w:p w14:paraId="51F2F815">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特此证明。</w:t>
      </w:r>
    </w:p>
    <w:p w14:paraId="15A5529C">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p>
    <w:p w14:paraId="2641092F">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供应商：</w:t>
      </w:r>
      <w:r>
        <w:rPr>
          <w:rFonts w:hint="eastAsia" w:ascii="仿宋_GB2312" w:hAnsi="仿宋_GB2312" w:eastAsia="仿宋_GB2312" w:cs="仿宋_GB2312"/>
          <w:color w:val="auto"/>
          <w:sz w:val="32"/>
          <w:szCs w:val="32"/>
          <w:shd w:val="clear" w:color="auto" w:fill="FFFFFF"/>
        </w:rPr>
        <w:t>（全称并加盖单位公章）</w:t>
      </w:r>
    </w:p>
    <w:p w14:paraId="65D392CF">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期：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   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p>
    <w:p w14:paraId="7BE9401F">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eastAsia" w:ascii="仿宋_GB2312" w:hAnsi="仿宋_GB2312" w:eastAsia="仿宋_GB2312" w:cs="仿宋_GB2312"/>
          <w:b/>
          <w:color w:val="auto"/>
          <w:sz w:val="32"/>
          <w:szCs w:val="32"/>
        </w:rPr>
      </w:pPr>
    </w:p>
    <w:p w14:paraId="27A23196">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附：法定代表人身份证复印件。</w:t>
      </w:r>
    </w:p>
    <w:p w14:paraId="04C7772D">
      <w:pPr>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71696AC2">
      <w:pPr>
        <w:pStyle w:val="3"/>
        <w:pageBreakBefore w:val="0"/>
        <w:widowControl w:val="0"/>
        <w:numPr>
          <w:ilvl w:val="0"/>
          <w:numId w:val="0"/>
        </w:numPr>
        <w:kinsoku/>
        <w:wordWrap/>
        <w:overflowPunct/>
        <w:topLinePunct w:val="0"/>
        <w:autoSpaceDE/>
        <w:autoSpaceDN/>
        <w:bidi w:val="0"/>
        <w:adjustRightInd/>
        <w:snapToGrid/>
        <w:spacing w:before="0" w:after="0" w:line="240" w:lineRule="auto"/>
        <w:ind w:left="0"/>
        <w:jc w:val="center"/>
        <w:textAlignment w:val="auto"/>
        <w:rPr>
          <w:rFonts w:hint="eastAsia" w:ascii="仿宋_GB2312" w:hAnsi="仿宋_GB2312" w:eastAsia="仿宋_GB2312" w:cs="仿宋_GB2312"/>
          <w:color w:val="auto"/>
          <w:sz w:val="32"/>
          <w:szCs w:val="32"/>
        </w:rPr>
      </w:pPr>
      <w:bookmarkStart w:id="2" w:name="_Toc427239185"/>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rPr>
        <w:t>授权书</w:t>
      </w:r>
      <w:bookmarkEnd w:id="2"/>
    </w:p>
    <w:p w14:paraId="6AB1E03C">
      <w:pPr>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auto"/>
          <w:sz w:val="32"/>
          <w:szCs w:val="32"/>
          <w:lang w:val="en-US" w:eastAsia="zh-CN"/>
        </w:rPr>
      </w:pPr>
    </w:p>
    <w:p w14:paraId="072AA7D0">
      <w:pPr>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委托人：（全称）</w:t>
      </w:r>
    </w:p>
    <w:p w14:paraId="07089180">
      <w:pPr>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本单位</w:t>
      </w:r>
      <w:r>
        <w:rPr>
          <w:rFonts w:hint="eastAsia" w:ascii="仿宋_GB2312" w:hAnsi="仿宋_GB2312" w:eastAsia="仿宋_GB2312" w:cs="仿宋_GB2312"/>
          <w:color w:val="auto"/>
          <w:sz w:val="32"/>
          <w:szCs w:val="32"/>
        </w:rPr>
        <w:t>现委托</w:t>
      </w:r>
      <w:r>
        <w:rPr>
          <w:rFonts w:hint="eastAsia" w:ascii="仿宋_GB2312" w:hAnsi="仿宋_GB2312" w:eastAsia="仿宋_GB2312" w:cs="仿宋_GB2312"/>
          <w:color w:val="auto"/>
          <w:sz w:val="32"/>
          <w:szCs w:val="32"/>
          <w:u w:val="single"/>
        </w:rPr>
        <w:t xml:space="preserve">       （姓名）</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本单位</w:t>
      </w:r>
      <w:r>
        <w:rPr>
          <w:rFonts w:hint="eastAsia" w:ascii="仿宋_GB2312" w:hAnsi="仿宋_GB2312" w:eastAsia="仿宋_GB2312" w:cs="仿宋_GB2312"/>
          <w:color w:val="auto"/>
          <w:sz w:val="32"/>
          <w:szCs w:val="32"/>
        </w:rPr>
        <w:t>代理人。代理人根据授权，</w:t>
      </w:r>
      <w:r>
        <w:rPr>
          <w:rFonts w:hint="eastAsia" w:ascii="仿宋_GB2312" w:hAnsi="仿宋_GB2312" w:eastAsia="仿宋_GB2312" w:cs="仿宋_GB2312"/>
          <w:color w:val="auto"/>
          <w:sz w:val="32"/>
          <w:szCs w:val="32"/>
          <w:lang w:val="en-US" w:eastAsia="zh-CN"/>
        </w:rPr>
        <w:t>可以本单位</w:t>
      </w:r>
      <w:r>
        <w:rPr>
          <w:rFonts w:hint="eastAsia" w:ascii="仿宋_GB2312" w:hAnsi="仿宋_GB2312" w:eastAsia="仿宋_GB2312" w:cs="仿宋_GB2312"/>
          <w:color w:val="auto"/>
          <w:sz w:val="32"/>
          <w:szCs w:val="32"/>
        </w:rPr>
        <w:t>名义签署、澄清、说明、补正、递交、撤回、修改</w:t>
      </w:r>
      <w:r>
        <w:rPr>
          <w:rFonts w:hint="eastAsia" w:ascii="仿宋_GB2312" w:hAnsi="仿宋_GB2312" w:eastAsia="仿宋_GB2312" w:cs="仿宋_GB2312"/>
          <w:color w:val="auto"/>
          <w:sz w:val="32"/>
          <w:szCs w:val="32"/>
          <w:u w:val="single"/>
          <w:shd w:val="clear" w:color="auto" w:fill="FFFFFF"/>
          <w:lang w:val="en-US" w:eastAsia="zh-CN"/>
        </w:rPr>
        <w:t>海南联合资产管理有限公司所属企业公开比选诉讼案件外聘律师事务所项目</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val="en-US" w:eastAsia="zh-CN"/>
        </w:rPr>
        <w:t>和领取诉讼案件材料等</w:t>
      </w:r>
      <w:r>
        <w:rPr>
          <w:rFonts w:hint="eastAsia" w:ascii="仿宋_GB2312" w:hAnsi="仿宋_GB2312" w:eastAsia="仿宋_GB2312" w:cs="仿宋_GB2312"/>
          <w:color w:val="auto"/>
          <w:sz w:val="32"/>
          <w:szCs w:val="32"/>
        </w:rPr>
        <w:t>有关事宜，其法律后果由</w:t>
      </w:r>
      <w:r>
        <w:rPr>
          <w:rFonts w:hint="eastAsia" w:ascii="仿宋_GB2312" w:hAnsi="仿宋_GB2312" w:eastAsia="仿宋_GB2312" w:cs="仿宋_GB2312"/>
          <w:color w:val="auto"/>
          <w:sz w:val="32"/>
          <w:szCs w:val="32"/>
          <w:lang w:val="en-US" w:eastAsia="zh-CN"/>
        </w:rPr>
        <w:t>本单位</w:t>
      </w:r>
      <w:r>
        <w:rPr>
          <w:rFonts w:hint="eastAsia" w:ascii="仿宋_GB2312" w:hAnsi="仿宋_GB2312" w:eastAsia="仿宋_GB2312" w:cs="仿宋_GB2312"/>
          <w:color w:val="auto"/>
          <w:sz w:val="32"/>
          <w:szCs w:val="32"/>
        </w:rPr>
        <w:t>承担。</w:t>
      </w:r>
    </w:p>
    <w:p w14:paraId="1B90A125">
      <w:pPr>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委托期限为上述事项办完为止。</w:t>
      </w:r>
    </w:p>
    <w:p w14:paraId="1B25141A">
      <w:pPr>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rPr>
        <w:t>代理人无转委托权。</w:t>
      </w:r>
    </w:p>
    <w:p w14:paraId="4B123753">
      <w:pPr>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特此委托。</w:t>
      </w:r>
    </w:p>
    <w:p w14:paraId="15A54B68">
      <w:pPr>
        <w:pageBreakBefore w:val="0"/>
        <w:widowControl w:val="0"/>
        <w:kinsoku/>
        <w:wordWrap/>
        <w:overflowPunct/>
        <w:topLinePunct w:val="0"/>
        <w:autoSpaceDE/>
        <w:autoSpaceDN/>
        <w:bidi w:val="0"/>
        <w:adjustRightInd/>
        <w:snapToGrid/>
        <w:spacing w:line="240" w:lineRule="auto"/>
        <w:ind w:left="0"/>
        <w:textAlignment w:val="auto"/>
        <w:rPr>
          <w:rFonts w:hint="eastAsia" w:ascii="仿宋_GB2312" w:hAnsi="仿宋_GB2312" w:eastAsia="仿宋_GB2312" w:cs="仿宋_GB2312"/>
          <w:color w:val="auto"/>
          <w:sz w:val="32"/>
          <w:szCs w:val="32"/>
        </w:rPr>
      </w:pPr>
    </w:p>
    <w:p w14:paraId="10615391">
      <w:pPr>
        <w:pageBreakBefore w:val="0"/>
        <w:widowControl w:val="0"/>
        <w:kinsoku/>
        <w:wordWrap/>
        <w:overflowPunct/>
        <w:topLinePunct w:val="0"/>
        <w:autoSpaceDE/>
        <w:autoSpaceDN/>
        <w:bidi w:val="0"/>
        <w:adjustRightInd/>
        <w:snapToGrid/>
        <w:spacing w:line="240" w:lineRule="auto"/>
        <w:ind w:left="0"/>
        <w:textAlignment w:val="auto"/>
        <w:rPr>
          <w:rFonts w:hint="eastAsia" w:ascii="仿宋_GB2312" w:hAnsi="仿宋_GB2312" w:eastAsia="仿宋_GB2312" w:cs="仿宋_GB2312"/>
          <w:color w:val="auto"/>
          <w:sz w:val="32"/>
          <w:szCs w:val="32"/>
        </w:rPr>
      </w:pPr>
    </w:p>
    <w:p w14:paraId="217C4115">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委  托  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全称并加</w:t>
      </w:r>
      <w:r>
        <w:rPr>
          <w:rFonts w:hint="eastAsia" w:ascii="仿宋_GB2312" w:hAnsi="仿宋_GB2312" w:eastAsia="仿宋_GB2312" w:cs="仿宋_GB2312"/>
          <w:color w:val="auto"/>
          <w:sz w:val="32"/>
          <w:szCs w:val="32"/>
        </w:rPr>
        <w:t>盖单位</w:t>
      </w:r>
      <w:r>
        <w:rPr>
          <w:rFonts w:hint="eastAsia" w:ascii="仿宋_GB2312" w:hAnsi="仿宋_GB2312" w:eastAsia="仿宋_GB2312" w:cs="仿宋_GB2312"/>
          <w:color w:val="auto"/>
          <w:sz w:val="32"/>
          <w:szCs w:val="32"/>
          <w:lang w:val="en-US" w:eastAsia="zh-CN"/>
        </w:rPr>
        <w:t>公</w:t>
      </w:r>
      <w:r>
        <w:rPr>
          <w:rFonts w:hint="eastAsia" w:ascii="仿宋_GB2312" w:hAnsi="仿宋_GB2312" w:eastAsia="仿宋_GB2312" w:cs="仿宋_GB2312"/>
          <w:color w:val="auto"/>
          <w:sz w:val="32"/>
          <w:szCs w:val="32"/>
        </w:rPr>
        <w:t>章）</w:t>
      </w:r>
    </w:p>
    <w:p w14:paraId="3506FE65">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法定代表人：（签字或盖章）</w:t>
      </w:r>
    </w:p>
    <w:p w14:paraId="00CE5A3E">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委托代理人：（签字）</w:t>
      </w:r>
    </w:p>
    <w:p w14:paraId="68072389">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委 托日 期：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14:paraId="72EACFB6">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p>
    <w:p w14:paraId="57D61597">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注：本授权委托书为法定代表人不亲自</w:t>
      </w:r>
      <w:r>
        <w:rPr>
          <w:rFonts w:hint="eastAsia" w:ascii="仿宋_GB2312" w:hAnsi="仿宋_GB2312" w:eastAsia="仿宋_GB2312" w:cs="仿宋_GB2312"/>
          <w:color w:val="auto"/>
          <w:sz w:val="32"/>
          <w:szCs w:val="32"/>
          <w:lang w:val="en-US" w:eastAsia="zh-CN"/>
        </w:rPr>
        <w:t>领取诉讼案件材料或提交响应文件</w:t>
      </w:r>
      <w:r>
        <w:rPr>
          <w:rFonts w:hint="eastAsia" w:ascii="仿宋_GB2312" w:hAnsi="仿宋_GB2312" w:eastAsia="仿宋_GB2312" w:cs="仿宋_GB2312"/>
          <w:color w:val="auto"/>
          <w:sz w:val="32"/>
          <w:szCs w:val="32"/>
        </w:rPr>
        <w:t>而委托代理人</w:t>
      </w:r>
      <w:r>
        <w:rPr>
          <w:rFonts w:hint="eastAsia" w:ascii="仿宋_GB2312" w:hAnsi="仿宋_GB2312" w:eastAsia="仿宋_GB2312" w:cs="仿宋_GB2312"/>
          <w:color w:val="auto"/>
          <w:sz w:val="32"/>
          <w:szCs w:val="32"/>
          <w:lang w:val="en-US" w:eastAsia="zh-CN"/>
        </w:rPr>
        <w:t>提交</w:t>
      </w:r>
      <w:r>
        <w:rPr>
          <w:rFonts w:hint="eastAsia" w:ascii="仿宋_GB2312" w:hAnsi="仿宋_GB2312" w:eastAsia="仿宋_GB2312" w:cs="仿宋_GB2312"/>
          <w:color w:val="auto"/>
          <w:sz w:val="32"/>
          <w:szCs w:val="32"/>
        </w:rPr>
        <w:t>适用。</w:t>
      </w:r>
    </w:p>
    <w:p w14:paraId="61DFD721">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后附</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rPr>
        <w:t>代理人身份证复印件。</w:t>
      </w:r>
    </w:p>
    <w:p w14:paraId="2C8A7A32">
      <w:pPr>
        <w:pageBreakBefore w:val="0"/>
        <w:widowControl w:val="0"/>
        <w:kinsoku/>
        <w:wordWrap/>
        <w:overflowPunct/>
        <w:topLinePunct w:val="0"/>
        <w:autoSpaceDE/>
        <w:autoSpaceDN/>
        <w:bidi w:val="0"/>
        <w:adjustRightInd/>
        <w:snapToGrid/>
        <w:spacing w:line="240" w:lineRule="auto"/>
        <w:ind w:lef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2764C0E1">
      <w:pPr>
        <w:pStyle w:val="3"/>
        <w:pageBreakBefore w:val="0"/>
        <w:widowControl w:val="0"/>
        <w:numPr>
          <w:ilvl w:val="0"/>
          <w:numId w:val="0"/>
        </w:numPr>
        <w:kinsoku/>
        <w:wordWrap/>
        <w:overflowPunct/>
        <w:topLinePunct w:val="0"/>
        <w:autoSpaceDE/>
        <w:autoSpaceDN/>
        <w:bidi w:val="0"/>
        <w:adjustRightInd/>
        <w:snapToGrid/>
        <w:spacing w:before="0" w:after="0" w:line="240" w:lineRule="auto"/>
        <w:ind w:left="0"/>
        <w:jc w:val="center"/>
        <w:textAlignment w:val="auto"/>
        <w:rPr>
          <w:rFonts w:hint="eastAsia" w:ascii="仿宋_GB2312" w:hAnsi="仿宋_GB2312" w:eastAsia="仿宋_GB2312" w:cs="仿宋_GB2312"/>
          <w:color w:val="auto"/>
          <w:sz w:val="32"/>
          <w:szCs w:val="32"/>
          <w:lang w:val="en-US" w:eastAsia="zh-CN"/>
        </w:rPr>
      </w:pPr>
      <w:bookmarkStart w:id="3" w:name="_Toc427239186"/>
      <w:r>
        <w:rPr>
          <w:rFonts w:hint="eastAsia" w:ascii="仿宋_GB2312" w:hAnsi="仿宋_GB2312" w:eastAsia="仿宋_GB2312" w:cs="仿宋_GB2312"/>
          <w:color w:val="auto"/>
          <w:sz w:val="32"/>
          <w:szCs w:val="32"/>
          <w:lang w:val="en-US" w:eastAsia="zh-CN"/>
        </w:rPr>
        <w:t>四、外聘律师事务所基本信息</w:t>
      </w:r>
      <w:bookmarkEnd w:id="3"/>
    </w:p>
    <w:p w14:paraId="344C62FB">
      <w:pPr>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律师事务所基本情况表</w:t>
      </w:r>
    </w:p>
    <w:tbl>
      <w:tblPr>
        <w:tblStyle w:val="10"/>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1412"/>
        <w:gridCol w:w="2019"/>
        <w:gridCol w:w="1711"/>
        <w:gridCol w:w="2185"/>
      </w:tblGrid>
      <w:tr w14:paraId="0CED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72" w:type="dxa"/>
            <w:vAlign w:val="center"/>
          </w:tcPr>
          <w:p w14:paraId="1F5974B9">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机构</w:t>
            </w:r>
          </w:p>
          <w:p w14:paraId="5B396A64">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名称</w:t>
            </w:r>
          </w:p>
        </w:tc>
        <w:tc>
          <w:tcPr>
            <w:tcW w:w="7327" w:type="dxa"/>
            <w:gridSpan w:val="4"/>
            <w:vAlign w:val="center"/>
          </w:tcPr>
          <w:p w14:paraId="45AD9F8C">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p>
        </w:tc>
      </w:tr>
      <w:tr w14:paraId="2113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72" w:type="dxa"/>
            <w:vAlign w:val="center"/>
          </w:tcPr>
          <w:p w14:paraId="3EFFD729">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注册</w:t>
            </w:r>
          </w:p>
          <w:p w14:paraId="0EF14E99">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地址</w:t>
            </w:r>
          </w:p>
        </w:tc>
        <w:tc>
          <w:tcPr>
            <w:tcW w:w="3431" w:type="dxa"/>
            <w:gridSpan w:val="2"/>
            <w:vAlign w:val="center"/>
          </w:tcPr>
          <w:p w14:paraId="79BCF764">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p>
        </w:tc>
        <w:tc>
          <w:tcPr>
            <w:tcW w:w="1711" w:type="dxa"/>
            <w:vAlign w:val="center"/>
          </w:tcPr>
          <w:p w14:paraId="6386502A">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邮政编码</w:t>
            </w:r>
          </w:p>
        </w:tc>
        <w:tc>
          <w:tcPr>
            <w:tcW w:w="2185" w:type="dxa"/>
            <w:vAlign w:val="center"/>
          </w:tcPr>
          <w:p w14:paraId="37E7F7BE">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p>
        </w:tc>
      </w:tr>
      <w:tr w14:paraId="2A1C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72" w:type="dxa"/>
            <w:vAlign w:val="center"/>
          </w:tcPr>
          <w:p w14:paraId="01812048">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成立</w:t>
            </w:r>
          </w:p>
          <w:p w14:paraId="15E5DB6C">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日期</w:t>
            </w:r>
          </w:p>
        </w:tc>
        <w:tc>
          <w:tcPr>
            <w:tcW w:w="3431" w:type="dxa"/>
            <w:gridSpan w:val="2"/>
            <w:vAlign w:val="center"/>
          </w:tcPr>
          <w:p w14:paraId="36B9D3C1">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p>
        </w:tc>
        <w:tc>
          <w:tcPr>
            <w:tcW w:w="1711" w:type="dxa"/>
            <w:vAlign w:val="center"/>
          </w:tcPr>
          <w:p w14:paraId="3E5438A8">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单位负责人</w:t>
            </w:r>
          </w:p>
        </w:tc>
        <w:tc>
          <w:tcPr>
            <w:tcW w:w="2185" w:type="dxa"/>
            <w:vAlign w:val="center"/>
          </w:tcPr>
          <w:p w14:paraId="7F7F3FBC">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p>
        </w:tc>
      </w:tr>
      <w:tr w14:paraId="2D32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72" w:type="dxa"/>
            <w:vAlign w:val="center"/>
          </w:tcPr>
          <w:p w14:paraId="147F16AA">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执业律师</w:t>
            </w:r>
            <w:r>
              <w:rPr>
                <w:rFonts w:hint="eastAsia" w:ascii="仿宋_GB2312" w:hAnsi="仿宋_GB2312" w:eastAsia="仿宋_GB2312" w:cs="仿宋_GB2312"/>
                <w:b w:val="0"/>
                <w:bCs w:val="0"/>
                <w:color w:val="auto"/>
                <w:sz w:val="32"/>
                <w:szCs w:val="32"/>
                <w:lang w:eastAsia="zh-CN"/>
              </w:rPr>
              <w:t>人数</w:t>
            </w:r>
          </w:p>
        </w:tc>
        <w:tc>
          <w:tcPr>
            <w:tcW w:w="7327" w:type="dxa"/>
            <w:gridSpan w:val="4"/>
            <w:vAlign w:val="center"/>
          </w:tcPr>
          <w:p w14:paraId="3E027BE6">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p>
        </w:tc>
      </w:tr>
      <w:tr w14:paraId="7B12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72" w:type="dxa"/>
            <w:vAlign w:val="center"/>
          </w:tcPr>
          <w:p w14:paraId="3BBAAD62">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服务团队人数</w:t>
            </w:r>
          </w:p>
        </w:tc>
        <w:tc>
          <w:tcPr>
            <w:tcW w:w="7327" w:type="dxa"/>
            <w:gridSpan w:val="4"/>
            <w:vAlign w:val="center"/>
          </w:tcPr>
          <w:p w14:paraId="7B79F86F">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p>
        </w:tc>
      </w:tr>
      <w:tr w14:paraId="44AA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72" w:type="dxa"/>
            <w:vMerge w:val="restart"/>
            <w:vAlign w:val="center"/>
          </w:tcPr>
          <w:p w14:paraId="495DAFB2">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团队</w:t>
            </w:r>
          </w:p>
          <w:p w14:paraId="081692F9">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负责人</w:t>
            </w:r>
          </w:p>
        </w:tc>
        <w:tc>
          <w:tcPr>
            <w:tcW w:w="1412" w:type="dxa"/>
            <w:vAlign w:val="center"/>
          </w:tcPr>
          <w:p w14:paraId="234CD4D1">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姓名</w:t>
            </w:r>
          </w:p>
        </w:tc>
        <w:tc>
          <w:tcPr>
            <w:tcW w:w="2019" w:type="dxa"/>
            <w:vAlign w:val="center"/>
          </w:tcPr>
          <w:p w14:paraId="1EEABD63">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p>
        </w:tc>
        <w:tc>
          <w:tcPr>
            <w:tcW w:w="1711" w:type="dxa"/>
            <w:vAlign w:val="center"/>
          </w:tcPr>
          <w:p w14:paraId="50524AA6">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邮箱</w:t>
            </w:r>
          </w:p>
        </w:tc>
        <w:tc>
          <w:tcPr>
            <w:tcW w:w="2185" w:type="dxa"/>
            <w:vAlign w:val="center"/>
          </w:tcPr>
          <w:p w14:paraId="0B5C9276">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p>
        </w:tc>
      </w:tr>
      <w:tr w14:paraId="0C5E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272" w:type="dxa"/>
            <w:vMerge w:val="continue"/>
            <w:vAlign w:val="center"/>
          </w:tcPr>
          <w:p w14:paraId="6A470196">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p>
        </w:tc>
        <w:tc>
          <w:tcPr>
            <w:tcW w:w="1412" w:type="dxa"/>
            <w:vAlign w:val="center"/>
          </w:tcPr>
          <w:p w14:paraId="1F35D2D8">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电话</w:t>
            </w:r>
          </w:p>
        </w:tc>
        <w:tc>
          <w:tcPr>
            <w:tcW w:w="2019" w:type="dxa"/>
            <w:vAlign w:val="center"/>
          </w:tcPr>
          <w:p w14:paraId="0924D166">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p>
        </w:tc>
        <w:tc>
          <w:tcPr>
            <w:tcW w:w="1711" w:type="dxa"/>
            <w:vAlign w:val="center"/>
          </w:tcPr>
          <w:p w14:paraId="26EC8E6D">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传真</w:t>
            </w:r>
          </w:p>
        </w:tc>
        <w:tc>
          <w:tcPr>
            <w:tcW w:w="2185" w:type="dxa"/>
            <w:vAlign w:val="center"/>
          </w:tcPr>
          <w:p w14:paraId="7E938FA2">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p>
        </w:tc>
      </w:tr>
      <w:tr w14:paraId="699D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jc w:val="center"/>
        </w:trPr>
        <w:tc>
          <w:tcPr>
            <w:tcW w:w="1272" w:type="dxa"/>
            <w:vAlign w:val="center"/>
          </w:tcPr>
          <w:p w14:paraId="19E67CC0">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备注</w:t>
            </w:r>
          </w:p>
        </w:tc>
        <w:tc>
          <w:tcPr>
            <w:tcW w:w="7327" w:type="dxa"/>
            <w:gridSpan w:val="4"/>
            <w:vAlign w:val="center"/>
          </w:tcPr>
          <w:p w14:paraId="50813CD2">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荣誉、奖惩情况</w:t>
            </w:r>
          </w:p>
        </w:tc>
      </w:tr>
    </w:tbl>
    <w:p w14:paraId="19072F90">
      <w:pPr>
        <w:pageBreakBefore w:val="0"/>
        <w:widowControl w:val="0"/>
        <w:kinsoku/>
        <w:wordWrap/>
        <w:overflowPunct/>
        <w:topLinePunct w:val="0"/>
        <w:autoSpaceDE/>
        <w:autoSpaceDN/>
        <w:bidi w:val="0"/>
        <w:adjustRightInd/>
        <w:snapToGrid/>
        <w:spacing w:line="240" w:lineRule="auto"/>
        <w:ind w:lef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注：附</w:t>
      </w:r>
      <w:r>
        <w:rPr>
          <w:rFonts w:hint="eastAsia" w:ascii="仿宋_GB2312" w:hAnsi="仿宋_GB2312" w:eastAsia="仿宋_GB2312" w:cs="仿宋_GB2312"/>
          <w:color w:val="auto"/>
          <w:sz w:val="32"/>
          <w:szCs w:val="32"/>
          <w:lang w:val="en-US" w:eastAsia="zh-CN"/>
        </w:rPr>
        <w:t>执业许可证</w:t>
      </w:r>
      <w:r>
        <w:rPr>
          <w:rFonts w:hint="eastAsia" w:ascii="仿宋_GB2312" w:hAnsi="仿宋_GB2312" w:eastAsia="仿宋_GB2312" w:cs="仿宋_GB2312"/>
          <w:color w:val="auto"/>
          <w:sz w:val="32"/>
          <w:szCs w:val="32"/>
        </w:rPr>
        <w:t>、资质证书</w:t>
      </w:r>
      <w:r>
        <w:rPr>
          <w:rFonts w:hint="eastAsia" w:ascii="仿宋_GB2312" w:hAnsi="仿宋_GB2312" w:eastAsia="仿宋_GB2312" w:cs="仿宋_GB2312"/>
          <w:color w:val="auto"/>
          <w:sz w:val="32"/>
          <w:szCs w:val="32"/>
          <w:lang w:val="en-US" w:eastAsia="zh-CN"/>
        </w:rPr>
        <w:t>以及参选供应商</w:t>
      </w:r>
      <w:r>
        <w:rPr>
          <w:rFonts w:hint="eastAsia" w:ascii="仿宋_GB2312" w:hAnsi="仿宋_GB2312" w:eastAsia="仿宋_GB2312" w:cs="仿宋_GB2312"/>
          <w:color w:val="auto"/>
          <w:sz w:val="32"/>
          <w:szCs w:val="32"/>
        </w:rPr>
        <w:t>认为与本项目有关的证书复印件。</w:t>
      </w:r>
    </w:p>
    <w:p w14:paraId="0E9EF34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26AB8698">
      <w:pPr>
        <w:pStyle w:val="3"/>
        <w:pageBreakBefore w:val="0"/>
        <w:widowControl w:val="0"/>
        <w:numPr>
          <w:ilvl w:val="0"/>
          <w:numId w:val="0"/>
        </w:numPr>
        <w:kinsoku/>
        <w:wordWrap/>
        <w:overflowPunct/>
        <w:topLinePunct w:val="0"/>
        <w:autoSpaceDE/>
        <w:autoSpaceDN/>
        <w:bidi w:val="0"/>
        <w:adjustRightInd/>
        <w:snapToGrid/>
        <w:spacing w:before="0" w:after="0" w:line="240" w:lineRule="auto"/>
        <w:ind w:left="0"/>
        <w:jc w:val="center"/>
        <w:textAlignment w:val="auto"/>
        <w:rPr>
          <w:rFonts w:hint="eastAsia" w:ascii="仿宋_GB2312" w:hAnsi="仿宋_GB2312" w:eastAsia="仿宋_GB2312" w:cs="仿宋_GB2312"/>
          <w:color w:val="auto"/>
          <w:sz w:val="32"/>
          <w:szCs w:val="32"/>
          <w:lang w:val="en-US" w:eastAsia="zh-CN"/>
        </w:rPr>
      </w:pPr>
      <w:bookmarkStart w:id="4" w:name="_Toc427239187"/>
      <w:r>
        <w:rPr>
          <w:rFonts w:hint="eastAsia" w:ascii="仿宋_GB2312" w:hAnsi="仿宋_GB2312" w:eastAsia="仿宋_GB2312" w:cs="仿宋_GB2312"/>
          <w:color w:val="auto"/>
          <w:sz w:val="32"/>
          <w:szCs w:val="32"/>
          <w:lang w:val="en-US" w:eastAsia="zh-CN"/>
        </w:rPr>
        <w:t>五、拟指派执业律师情况汇总表</w:t>
      </w:r>
      <w:bookmarkEnd w:id="4"/>
    </w:p>
    <w:p w14:paraId="7569D582">
      <w:pPr>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服务团队成员名单</w:t>
      </w:r>
    </w:p>
    <w:p w14:paraId="0C256D44">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致海南联合资产管理有限公司：</w:t>
      </w:r>
    </w:p>
    <w:p w14:paraId="37A08355">
      <w:pPr>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律师事务所（名称）</w:t>
      </w:r>
      <w:r>
        <w:rPr>
          <w:rFonts w:hint="eastAsia" w:ascii="仿宋_GB2312" w:hAnsi="仿宋_GB2312" w:eastAsia="仿宋_GB2312" w:cs="仿宋_GB2312"/>
          <w:color w:val="auto"/>
          <w:sz w:val="32"/>
          <w:szCs w:val="32"/>
          <w:lang w:val="en-US" w:eastAsia="zh-CN"/>
        </w:rPr>
        <w:t>郑重声明，我单位拟委派下列人员作为本项目服务团队成员，并确保实际提供服务的团队成员与下列人员一致：</w:t>
      </w:r>
    </w:p>
    <w:tbl>
      <w:tblPr>
        <w:tblStyle w:val="9"/>
        <w:tblW w:w="8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594"/>
        <w:gridCol w:w="1866"/>
        <w:gridCol w:w="1675"/>
        <w:gridCol w:w="1188"/>
        <w:gridCol w:w="1863"/>
      </w:tblGrid>
      <w:tr w14:paraId="5BEB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exact"/>
        </w:trPr>
        <w:tc>
          <w:tcPr>
            <w:tcW w:w="751" w:type="dxa"/>
            <w:vAlign w:val="center"/>
          </w:tcPr>
          <w:p w14:paraId="03DFF565">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序号</w:t>
            </w:r>
          </w:p>
        </w:tc>
        <w:tc>
          <w:tcPr>
            <w:tcW w:w="1594" w:type="dxa"/>
            <w:vAlign w:val="center"/>
          </w:tcPr>
          <w:p w14:paraId="4E8ACEEB">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姓名</w:t>
            </w:r>
          </w:p>
        </w:tc>
        <w:tc>
          <w:tcPr>
            <w:tcW w:w="1866" w:type="dxa"/>
            <w:vAlign w:val="center"/>
          </w:tcPr>
          <w:p w14:paraId="10E8A2DE">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拟任职务</w:t>
            </w:r>
          </w:p>
        </w:tc>
        <w:tc>
          <w:tcPr>
            <w:tcW w:w="1675" w:type="dxa"/>
            <w:vAlign w:val="center"/>
          </w:tcPr>
          <w:p w14:paraId="6189B2BB">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专业</w:t>
            </w:r>
          </w:p>
        </w:tc>
        <w:tc>
          <w:tcPr>
            <w:tcW w:w="1188" w:type="dxa"/>
            <w:vAlign w:val="center"/>
          </w:tcPr>
          <w:p w14:paraId="53A0D87B">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职称</w:t>
            </w:r>
          </w:p>
        </w:tc>
        <w:tc>
          <w:tcPr>
            <w:tcW w:w="1863" w:type="dxa"/>
            <w:vAlign w:val="center"/>
          </w:tcPr>
          <w:p w14:paraId="0783F18F">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执业资格</w:t>
            </w:r>
          </w:p>
        </w:tc>
      </w:tr>
      <w:tr w14:paraId="2C4F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751" w:type="dxa"/>
            <w:vAlign w:val="center"/>
          </w:tcPr>
          <w:p w14:paraId="493C5F2C">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1594" w:type="dxa"/>
            <w:vAlign w:val="center"/>
          </w:tcPr>
          <w:p w14:paraId="6EFCF86B">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866" w:type="dxa"/>
            <w:vAlign w:val="center"/>
          </w:tcPr>
          <w:p w14:paraId="022DA64B">
            <w:pPr>
              <w:pageBreakBefore w:val="0"/>
              <w:widowControl w:val="0"/>
              <w:kinsoku/>
              <w:wordWrap/>
              <w:overflowPunct/>
              <w:topLinePunct w:val="0"/>
              <w:autoSpaceDE/>
              <w:autoSpaceDN/>
              <w:bidi w:val="0"/>
              <w:adjustRightInd/>
              <w:snapToGrid/>
              <w:spacing w:line="240" w:lineRule="auto"/>
              <w:ind w:left="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团队负责人</w:t>
            </w:r>
          </w:p>
        </w:tc>
        <w:tc>
          <w:tcPr>
            <w:tcW w:w="1675" w:type="dxa"/>
            <w:vAlign w:val="center"/>
          </w:tcPr>
          <w:p w14:paraId="26068E7B">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188" w:type="dxa"/>
            <w:vAlign w:val="center"/>
          </w:tcPr>
          <w:p w14:paraId="70DF4613">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863" w:type="dxa"/>
            <w:vAlign w:val="center"/>
          </w:tcPr>
          <w:p w14:paraId="01BEE2F8">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r>
      <w:tr w14:paraId="3CA1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trPr>
        <w:tc>
          <w:tcPr>
            <w:tcW w:w="751" w:type="dxa"/>
            <w:vAlign w:val="center"/>
          </w:tcPr>
          <w:p w14:paraId="4D58056C">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1594" w:type="dxa"/>
            <w:vAlign w:val="center"/>
          </w:tcPr>
          <w:p w14:paraId="2F179510">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866" w:type="dxa"/>
            <w:vAlign w:val="center"/>
          </w:tcPr>
          <w:p w14:paraId="41C00B9E">
            <w:pPr>
              <w:pageBreakBefore w:val="0"/>
              <w:widowControl w:val="0"/>
              <w:kinsoku/>
              <w:wordWrap/>
              <w:overflowPunct/>
              <w:topLinePunct w:val="0"/>
              <w:autoSpaceDE/>
              <w:autoSpaceDN/>
              <w:bidi w:val="0"/>
              <w:adjustRightInd/>
              <w:snapToGrid/>
              <w:spacing w:line="240" w:lineRule="auto"/>
              <w:ind w:left="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主办律师</w:t>
            </w:r>
          </w:p>
        </w:tc>
        <w:tc>
          <w:tcPr>
            <w:tcW w:w="1675" w:type="dxa"/>
            <w:vAlign w:val="center"/>
          </w:tcPr>
          <w:p w14:paraId="4F2AB1F3">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188" w:type="dxa"/>
            <w:vAlign w:val="center"/>
          </w:tcPr>
          <w:p w14:paraId="1BFE7B77">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863" w:type="dxa"/>
            <w:vAlign w:val="center"/>
          </w:tcPr>
          <w:p w14:paraId="5A3000D1">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r>
      <w:tr w14:paraId="50C7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trPr>
        <w:tc>
          <w:tcPr>
            <w:tcW w:w="751" w:type="dxa"/>
            <w:vAlign w:val="center"/>
          </w:tcPr>
          <w:p w14:paraId="554C143B">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1594" w:type="dxa"/>
            <w:vAlign w:val="center"/>
          </w:tcPr>
          <w:p w14:paraId="6B86151A">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866" w:type="dxa"/>
            <w:vAlign w:val="center"/>
          </w:tcPr>
          <w:p w14:paraId="65406A1C">
            <w:pPr>
              <w:pageBreakBefore w:val="0"/>
              <w:widowControl w:val="0"/>
              <w:kinsoku/>
              <w:wordWrap/>
              <w:overflowPunct/>
              <w:topLinePunct w:val="0"/>
              <w:autoSpaceDE/>
              <w:autoSpaceDN/>
              <w:bidi w:val="0"/>
              <w:adjustRightInd/>
              <w:snapToGrid/>
              <w:spacing w:line="240" w:lineRule="auto"/>
              <w:ind w:left="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主办律师</w:t>
            </w:r>
          </w:p>
        </w:tc>
        <w:tc>
          <w:tcPr>
            <w:tcW w:w="1675" w:type="dxa"/>
            <w:vAlign w:val="center"/>
          </w:tcPr>
          <w:p w14:paraId="3CA293A9">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188" w:type="dxa"/>
            <w:vAlign w:val="center"/>
          </w:tcPr>
          <w:p w14:paraId="5B2EE364">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863" w:type="dxa"/>
            <w:vAlign w:val="center"/>
          </w:tcPr>
          <w:p w14:paraId="68944B60">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r>
      <w:tr w14:paraId="1047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751" w:type="dxa"/>
            <w:vAlign w:val="center"/>
          </w:tcPr>
          <w:p w14:paraId="1C54102A">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1594" w:type="dxa"/>
            <w:vAlign w:val="center"/>
          </w:tcPr>
          <w:p w14:paraId="09524469">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866" w:type="dxa"/>
            <w:vAlign w:val="center"/>
          </w:tcPr>
          <w:p w14:paraId="66AAEBE6">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协办律师</w:t>
            </w:r>
          </w:p>
        </w:tc>
        <w:tc>
          <w:tcPr>
            <w:tcW w:w="1675" w:type="dxa"/>
            <w:vAlign w:val="center"/>
          </w:tcPr>
          <w:p w14:paraId="110E9EB1">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188" w:type="dxa"/>
            <w:vAlign w:val="center"/>
          </w:tcPr>
          <w:p w14:paraId="20460F14">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863" w:type="dxa"/>
            <w:vAlign w:val="center"/>
          </w:tcPr>
          <w:p w14:paraId="7C8C43FB">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r>
      <w:tr w14:paraId="387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trPr>
        <w:tc>
          <w:tcPr>
            <w:tcW w:w="751" w:type="dxa"/>
            <w:vAlign w:val="center"/>
          </w:tcPr>
          <w:p w14:paraId="5850AA5F">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1594" w:type="dxa"/>
            <w:vAlign w:val="center"/>
          </w:tcPr>
          <w:p w14:paraId="33AA7B6F">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866" w:type="dxa"/>
            <w:vAlign w:val="center"/>
          </w:tcPr>
          <w:p w14:paraId="4639AA16">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协办律师</w:t>
            </w:r>
          </w:p>
        </w:tc>
        <w:tc>
          <w:tcPr>
            <w:tcW w:w="1675" w:type="dxa"/>
            <w:vAlign w:val="center"/>
          </w:tcPr>
          <w:p w14:paraId="1A2CFCFC">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188" w:type="dxa"/>
            <w:vAlign w:val="center"/>
          </w:tcPr>
          <w:p w14:paraId="40B99EC9">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863" w:type="dxa"/>
            <w:vAlign w:val="center"/>
          </w:tcPr>
          <w:p w14:paraId="0348244F">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r>
    </w:tbl>
    <w:p w14:paraId="7D425432">
      <w:pPr>
        <w:pageBreakBefore w:val="0"/>
        <w:widowControl w:val="0"/>
        <w:kinsoku/>
        <w:wordWrap/>
        <w:overflowPunct/>
        <w:topLinePunct w:val="0"/>
        <w:autoSpaceDE/>
        <w:autoSpaceDN/>
        <w:bidi w:val="0"/>
        <w:adjustRightInd/>
        <w:snapToGrid/>
        <w:spacing w:line="240" w:lineRule="auto"/>
        <w:ind w:lef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注：附</w:t>
      </w:r>
      <w:r>
        <w:rPr>
          <w:rFonts w:hint="eastAsia" w:ascii="仿宋_GB2312" w:hAnsi="仿宋_GB2312" w:eastAsia="仿宋_GB2312" w:cs="仿宋_GB2312"/>
          <w:color w:val="auto"/>
          <w:sz w:val="32"/>
          <w:szCs w:val="32"/>
        </w:rPr>
        <w:t>拟指派执业律师</w:t>
      </w:r>
      <w:r>
        <w:rPr>
          <w:rFonts w:hint="eastAsia" w:ascii="仿宋_GB2312" w:hAnsi="仿宋_GB2312" w:eastAsia="仿宋_GB2312" w:cs="仿宋_GB2312"/>
          <w:color w:val="auto"/>
          <w:sz w:val="32"/>
          <w:szCs w:val="32"/>
          <w:lang w:val="en-US" w:eastAsia="zh-CN"/>
        </w:rPr>
        <w:t>执业</w:t>
      </w:r>
      <w:r>
        <w:rPr>
          <w:rFonts w:hint="eastAsia" w:ascii="仿宋_GB2312" w:hAnsi="仿宋_GB2312" w:eastAsia="仿宋_GB2312" w:cs="仿宋_GB2312"/>
          <w:color w:val="auto"/>
          <w:sz w:val="32"/>
          <w:szCs w:val="32"/>
        </w:rPr>
        <w:t>证、职称证（如有）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资格证等相关证件复印件。</w:t>
      </w:r>
    </w:p>
    <w:p w14:paraId="764245A1">
      <w:pPr>
        <w:rPr>
          <w:rFonts w:hint="eastAsia" w:ascii="仿宋_GB2312" w:hAnsi="仿宋_GB2312" w:eastAsia="仿宋_GB2312" w:cs="仿宋_GB2312"/>
          <w:color w:val="auto"/>
          <w:sz w:val="32"/>
          <w:szCs w:val="32"/>
        </w:rPr>
        <w:sectPr>
          <w:pgSz w:w="11906" w:h="16838"/>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4702E226">
      <w:pPr>
        <w:pStyle w:val="3"/>
        <w:pageBreakBefore w:val="0"/>
        <w:widowControl w:val="0"/>
        <w:numPr>
          <w:ilvl w:val="0"/>
          <w:numId w:val="0"/>
        </w:numPr>
        <w:kinsoku/>
        <w:wordWrap/>
        <w:overflowPunct/>
        <w:topLinePunct w:val="0"/>
        <w:autoSpaceDE/>
        <w:autoSpaceDN/>
        <w:bidi w:val="0"/>
        <w:adjustRightInd/>
        <w:snapToGrid/>
        <w:spacing w:before="0" w:after="0" w:line="240" w:lineRule="auto"/>
        <w:ind w:left="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六、资格审查条件</w:t>
      </w:r>
    </w:p>
    <w:tbl>
      <w:tblPr>
        <w:tblStyle w:val="9"/>
        <w:tblpPr w:leftFromText="180" w:rightFromText="180" w:vertAnchor="text" w:horzAnchor="page" w:tblpXSpec="center" w:tblpY="935"/>
        <w:tblOverlap w:val="never"/>
        <w:tblW w:w="14160" w:type="dxa"/>
        <w:jc w:val="center"/>
        <w:tblLayout w:type="fixed"/>
        <w:tblCellMar>
          <w:top w:w="0" w:type="dxa"/>
          <w:left w:w="108" w:type="dxa"/>
          <w:bottom w:w="0" w:type="dxa"/>
          <w:right w:w="108" w:type="dxa"/>
        </w:tblCellMar>
      </w:tblPr>
      <w:tblGrid>
        <w:gridCol w:w="810"/>
        <w:gridCol w:w="930"/>
        <w:gridCol w:w="12420"/>
      </w:tblGrid>
      <w:tr w14:paraId="6C043092">
        <w:tblPrEx>
          <w:tblCellMar>
            <w:top w:w="0" w:type="dxa"/>
            <w:left w:w="108" w:type="dxa"/>
            <w:bottom w:w="0" w:type="dxa"/>
            <w:right w:w="108" w:type="dxa"/>
          </w:tblCellMar>
        </w:tblPrEx>
        <w:trPr>
          <w:trHeight w:val="400"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17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黑体" w:eastAsia="仿宋_GB2312" w:cs="仿宋_GB2312"/>
                <w:b/>
                <w:bCs/>
                <w:color w:val="auto"/>
                <w:sz w:val="32"/>
                <w:szCs w:val="32"/>
              </w:rPr>
            </w:pPr>
            <w:r>
              <w:rPr>
                <w:rFonts w:hint="eastAsia" w:ascii="仿宋_GB2312" w:hAnsi="黑体" w:eastAsia="仿宋_GB2312" w:cs="仿宋_GB2312"/>
                <w:b/>
                <w:bCs/>
                <w:color w:val="auto"/>
                <w:sz w:val="32"/>
                <w:szCs w:val="32"/>
                <w:lang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22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黑体" w:eastAsia="仿宋_GB2312" w:cs="仿宋_GB2312"/>
                <w:b/>
                <w:bCs/>
                <w:color w:val="auto"/>
                <w:sz w:val="32"/>
                <w:szCs w:val="32"/>
              </w:rPr>
            </w:pPr>
            <w:r>
              <w:rPr>
                <w:rFonts w:hint="eastAsia" w:ascii="仿宋_GB2312" w:hAnsi="黑体" w:eastAsia="仿宋_GB2312" w:cs="仿宋_GB2312"/>
                <w:b/>
                <w:bCs/>
                <w:color w:val="auto"/>
                <w:sz w:val="32"/>
                <w:szCs w:val="32"/>
                <w:lang w:eastAsia="zh-CN" w:bidi="ar"/>
              </w:rPr>
              <w:t>项目</w:t>
            </w:r>
          </w:p>
        </w:tc>
        <w:tc>
          <w:tcPr>
            <w:tcW w:w="12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A6D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黑体" w:eastAsia="仿宋_GB2312" w:cs="仿宋_GB2312"/>
                <w:b/>
                <w:bCs/>
                <w:color w:val="auto"/>
                <w:sz w:val="32"/>
                <w:szCs w:val="32"/>
              </w:rPr>
            </w:pPr>
            <w:r>
              <w:rPr>
                <w:rFonts w:hint="eastAsia" w:ascii="仿宋_GB2312" w:hAnsi="黑体" w:eastAsia="仿宋_GB2312" w:cs="仿宋_GB2312"/>
                <w:b/>
                <w:bCs/>
                <w:color w:val="auto"/>
                <w:sz w:val="32"/>
                <w:szCs w:val="32"/>
                <w:lang w:eastAsia="zh-CN" w:bidi="ar"/>
              </w:rPr>
              <w:t>资格审查条件</w:t>
            </w:r>
          </w:p>
        </w:tc>
      </w:tr>
      <w:tr w14:paraId="1DA0C5C8">
        <w:tblPrEx>
          <w:tblCellMar>
            <w:top w:w="0" w:type="dxa"/>
            <w:left w:w="108" w:type="dxa"/>
            <w:bottom w:w="0" w:type="dxa"/>
            <w:right w:w="108" w:type="dxa"/>
          </w:tblCellMar>
        </w:tblPrEx>
        <w:trPr>
          <w:trHeight w:val="46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52C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b/>
                <w:bCs/>
                <w:color w:val="auto"/>
                <w:sz w:val="32"/>
                <w:szCs w:val="32"/>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DCD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b/>
                <w:bCs/>
                <w:color w:val="auto"/>
                <w:sz w:val="32"/>
                <w:szCs w:val="32"/>
              </w:rPr>
            </w:pPr>
          </w:p>
        </w:tc>
        <w:tc>
          <w:tcPr>
            <w:tcW w:w="12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249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b/>
                <w:bCs/>
                <w:color w:val="auto"/>
                <w:sz w:val="32"/>
                <w:szCs w:val="32"/>
              </w:rPr>
            </w:pPr>
          </w:p>
        </w:tc>
      </w:tr>
      <w:tr w14:paraId="13384970">
        <w:tblPrEx>
          <w:tblCellMar>
            <w:top w:w="0" w:type="dxa"/>
            <w:left w:w="108" w:type="dxa"/>
            <w:bottom w:w="0" w:type="dxa"/>
            <w:right w:w="108" w:type="dxa"/>
          </w:tblCellMar>
        </w:tblPrEx>
        <w:trPr>
          <w:trHeight w:val="983"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65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0E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bidi="ar"/>
              </w:rPr>
              <w:t>机构基本情况</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6E9C">
            <w:pPr>
              <w:pStyle w:val="20"/>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default"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eastAsia="zh-CN" w:bidi="ar"/>
              </w:rPr>
              <w:t>参选供应商须是在中华人民共和国境内注册、具有独立承担民事责任的能力，须为未被列入信用中国网站(www.creditchina.gov.cn)的“失信被执行人”“重大税收违法失信主体”“政府采购严重违法失信名单”和中国政府采购网(www.ccgp.gov.cn)的“政府采购严重违法失信行为记录名单”；（提供</w:t>
            </w:r>
            <w:r>
              <w:rPr>
                <w:rFonts w:hint="eastAsia" w:ascii="仿宋_GB2312" w:hAnsi="仿宋_GB2312" w:eastAsia="仿宋_GB2312" w:cs="仿宋_GB2312"/>
                <w:color w:val="auto"/>
                <w:sz w:val="32"/>
                <w:szCs w:val="32"/>
                <w:lang w:val="en-US" w:eastAsia="zh-CN" w:bidi="ar"/>
              </w:rPr>
              <w:t>律所</w:t>
            </w:r>
            <w:r>
              <w:rPr>
                <w:rFonts w:hint="eastAsia" w:ascii="仿宋_GB2312" w:hAnsi="仿宋_GB2312" w:eastAsia="仿宋_GB2312" w:cs="仿宋_GB2312"/>
                <w:color w:val="auto"/>
                <w:sz w:val="32"/>
                <w:szCs w:val="32"/>
                <w:lang w:val="en-US" w:eastAsia="zh-CN"/>
              </w:rPr>
              <w:t>执业许可证、</w:t>
            </w:r>
            <w:r>
              <w:rPr>
                <w:rFonts w:hint="eastAsia" w:ascii="仿宋_GB2312" w:hAnsi="仿宋_GB2312" w:eastAsia="仿宋_GB2312" w:cs="仿宋_GB2312"/>
                <w:color w:val="auto"/>
                <w:sz w:val="32"/>
                <w:szCs w:val="32"/>
                <w:lang w:eastAsia="zh-CN" w:bidi="ar"/>
              </w:rPr>
              <w:t>信用中国网站[www.creditchina.gov.cn])和中国政府采购网[www.ccgp.gov.cn]查询结果截图，并加盖公章）</w:t>
            </w:r>
          </w:p>
          <w:p w14:paraId="4CEA0B14">
            <w:pPr>
              <w:pStyle w:val="20"/>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default"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eastAsia="zh-CN" w:bidi="ar"/>
              </w:rPr>
              <w:t>参选供应商具有依法缴纳税收和社会保障资金的良好记录；（提供参选时最近3个月的单位缴纳税收、拟指派执业律师的社保记录凭证，并加盖公章）</w:t>
            </w:r>
          </w:p>
          <w:p w14:paraId="7CCEB21C">
            <w:pPr>
              <w:pStyle w:val="20"/>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default" w:ascii="仿宋_GB2312" w:hAnsi="仿宋_GB2312" w:eastAsia="仿宋_GB2312" w:cs="仿宋_GB2312"/>
                <w:color w:val="auto"/>
                <w:sz w:val="32"/>
                <w:szCs w:val="32"/>
                <w:lang w:eastAsia="zh-CN" w:bidi="ar"/>
              </w:rPr>
            </w:pPr>
            <w:r>
              <w:rPr>
                <w:rFonts w:hint="default" w:ascii="仿宋_GB2312" w:hAnsi="仿宋_GB2312" w:eastAsia="仿宋_GB2312" w:cs="仿宋_GB2312"/>
                <w:color w:val="auto"/>
                <w:sz w:val="32"/>
                <w:szCs w:val="32"/>
                <w:lang w:eastAsia="zh-CN" w:bidi="ar"/>
              </w:rPr>
              <w:t>参选供应商（包含拟指派执业律师）须提供参选前三年内，在经营活动中没有重大违纪、违法记录的声明函</w:t>
            </w:r>
            <w:r>
              <w:rPr>
                <w:rFonts w:hint="eastAsia" w:ascii="仿宋_GB2312" w:hAnsi="仿宋_GB2312" w:eastAsia="仿宋_GB2312" w:cs="仿宋_GB2312"/>
                <w:color w:val="auto"/>
                <w:sz w:val="32"/>
                <w:szCs w:val="32"/>
                <w:lang w:eastAsia="zh-CN" w:bidi="ar"/>
              </w:rPr>
              <w:t>；</w:t>
            </w:r>
            <w:r>
              <w:rPr>
                <w:rFonts w:hint="default" w:ascii="仿宋_GB2312" w:hAnsi="仿宋_GB2312" w:eastAsia="仿宋_GB2312" w:cs="仿宋_GB2312"/>
                <w:color w:val="auto"/>
                <w:sz w:val="32"/>
                <w:szCs w:val="32"/>
                <w:lang w:eastAsia="zh-CN" w:bidi="ar"/>
              </w:rPr>
              <w:t>（格式自拟，加盖公章）</w:t>
            </w:r>
          </w:p>
          <w:p w14:paraId="4122B29F">
            <w:pPr>
              <w:pStyle w:val="20"/>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default"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eastAsia="zh-CN"/>
              </w:rPr>
              <w:t>参选供应商（包含拟指派执业律师）须提供参选前三年内未因自身的任何违约、违法及违反职业道德的行为而导致合同解除或败诉，没有被投诉，未受过司法行政部门的行政处罚或律师协会的行业处分记录的声明函；（格式自拟，加盖公章）</w:t>
            </w:r>
          </w:p>
          <w:p w14:paraId="31CC715D">
            <w:pPr>
              <w:pStyle w:val="20"/>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default" w:ascii="仿宋_GB2312" w:hAnsi="仿宋_GB2312" w:eastAsia="仿宋_GB2312" w:cs="仿宋_GB2312"/>
                <w:color w:val="auto"/>
                <w:sz w:val="32"/>
                <w:szCs w:val="32"/>
                <w:lang w:eastAsia="zh-CN" w:bidi="ar"/>
              </w:rPr>
            </w:pPr>
            <w:r>
              <w:rPr>
                <w:rFonts w:hint="default" w:ascii="仿宋_GB2312" w:hAnsi="仿宋_GB2312" w:eastAsia="仿宋_GB2312" w:cs="仿宋_GB2312"/>
                <w:color w:val="auto"/>
                <w:sz w:val="32"/>
                <w:szCs w:val="32"/>
                <w:lang w:eastAsia="zh-CN" w:bidi="ar"/>
              </w:rPr>
              <w:t>参选供应商须提供未存在与我司及所属各成员企业存在利益冲突的情形（含诉讼、非诉讼案件、仲裁、投资并购等存在利益冲突的事项）的声明函</w:t>
            </w:r>
            <w:r>
              <w:rPr>
                <w:rFonts w:hint="eastAsia" w:ascii="仿宋_GB2312" w:hAnsi="仿宋_GB2312" w:eastAsia="仿宋_GB2312" w:cs="仿宋_GB2312"/>
                <w:color w:val="auto"/>
                <w:sz w:val="32"/>
                <w:szCs w:val="32"/>
                <w:lang w:eastAsia="zh-CN" w:bidi="ar"/>
              </w:rPr>
              <w:t>；</w:t>
            </w:r>
            <w:r>
              <w:rPr>
                <w:rFonts w:hint="default" w:ascii="仿宋_GB2312" w:hAnsi="仿宋_GB2312" w:eastAsia="仿宋_GB2312" w:cs="仿宋_GB2312"/>
                <w:color w:val="auto"/>
                <w:sz w:val="32"/>
                <w:szCs w:val="32"/>
                <w:lang w:eastAsia="zh-CN" w:bidi="ar"/>
              </w:rPr>
              <w:t>（格式自拟，加盖公章）</w:t>
            </w:r>
          </w:p>
          <w:p w14:paraId="12F2B63F">
            <w:pPr>
              <w:pStyle w:val="20"/>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eastAsia"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eastAsia="zh-CN"/>
              </w:rPr>
              <w:t>参选供应商须提供具有良好的社会关系、资信实力、管理水平、商业信誉和健全的财务会计制度的声明函。（格式自拟，加盖公章）</w:t>
            </w:r>
          </w:p>
        </w:tc>
      </w:tr>
      <w:tr w14:paraId="704F56DE">
        <w:tblPrEx>
          <w:tblCellMar>
            <w:top w:w="0" w:type="dxa"/>
            <w:left w:w="108" w:type="dxa"/>
            <w:bottom w:w="0" w:type="dxa"/>
            <w:right w:w="108" w:type="dxa"/>
          </w:tblCellMar>
        </w:tblPrEx>
        <w:trPr>
          <w:trHeight w:val="11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06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0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bidi="ar"/>
              </w:rPr>
              <w:t>服务</w:t>
            </w:r>
            <w:r>
              <w:rPr>
                <w:rFonts w:hint="eastAsia" w:ascii="仿宋_GB2312" w:hAnsi="仿宋_GB2312" w:eastAsia="仿宋_GB2312" w:cs="仿宋_GB2312"/>
                <w:color w:val="auto"/>
                <w:sz w:val="32"/>
                <w:szCs w:val="32"/>
                <w:lang w:eastAsia="zh-CN" w:bidi="ar"/>
              </w:rPr>
              <w:t>人员要求</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4714">
            <w:pPr>
              <w:pStyle w:val="20"/>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eastAsia"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val="en-US" w:eastAsia="zh-CN" w:bidi="ar"/>
              </w:rPr>
              <w:t>服务</w:t>
            </w:r>
            <w:r>
              <w:rPr>
                <w:rFonts w:hint="eastAsia" w:ascii="仿宋_GB2312" w:hAnsi="仿宋_GB2312" w:eastAsia="仿宋_GB2312" w:cs="仿宋_GB2312"/>
                <w:color w:val="auto"/>
                <w:sz w:val="32"/>
                <w:szCs w:val="32"/>
                <w:lang w:eastAsia="zh-CN" w:bidi="ar"/>
              </w:rPr>
              <w:t>团队人数不少于3人。</w:t>
            </w:r>
          </w:p>
          <w:p w14:paraId="6F0D5936">
            <w:pPr>
              <w:pStyle w:val="20"/>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eastAsia"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val="en-US" w:eastAsia="zh-CN" w:bidi="ar"/>
              </w:rPr>
              <w:t>服务</w:t>
            </w:r>
            <w:r>
              <w:rPr>
                <w:rFonts w:hint="eastAsia" w:ascii="仿宋_GB2312" w:hAnsi="仿宋_GB2312" w:eastAsia="仿宋_GB2312" w:cs="仿宋_GB2312"/>
                <w:color w:val="auto"/>
                <w:sz w:val="32"/>
                <w:szCs w:val="32"/>
                <w:lang w:eastAsia="zh-CN" w:bidi="ar"/>
              </w:rPr>
              <w:t>团队负责人1名，且需执业10年（含）以上。</w:t>
            </w:r>
          </w:p>
          <w:p w14:paraId="479D7BA3">
            <w:pPr>
              <w:pStyle w:val="20"/>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eastAsia"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val="en-US" w:eastAsia="zh-CN" w:bidi="ar"/>
              </w:rPr>
              <w:t>服务</w:t>
            </w:r>
            <w:r>
              <w:rPr>
                <w:rFonts w:hint="eastAsia" w:ascii="仿宋_GB2312" w:hAnsi="仿宋_GB2312" w:eastAsia="仿宋_GB2312" w:cs="仿宋_GB2312"/>
                <w:color w:val="auto"/>
                <w:sz w:val="32"/>
                <w:szCs w:val="32"/>
                <w:lang w:eastAsia="zh-CN" w:bidi="ar"/>
              </w:rPr>
              <w:t>团队</w:t>
            </w:r>
            <w:r>
              <w:rPr>
                <w:rFonts w:hint="eastAsia" w:ascii="仿宋_GB2312" w:hAnsi="仿宋_GB2312" w:eastAsia="仿宋_GB2312" w:cs="仿宋_GB2312"/>
                <w:color w:val="auto"/>
                <w:sz w:val="32"/>
                <w:szCs w:val="32"/>
                <w:lang w:val="en-US" w:eastAsia="zh-CN" w:bidi="ar"/>
              </w:rPr>
              <w:t>主要</w:t>
            </w:r>
            <w:r>
              <w:rPr>
                <w:rFonts w:hint="eastAsia" w:ascii="仿宋_GB2312" w:hAnsi="仿宋_GB2312" w:eastAsia="仿宋_GB2312" w:cs="仿宋_GB2312"/>
                <w:color w:val="auto"/>
                <w:sz w:val="32"/>
                <w:szCs w:val="32"/>
                <w:lang w:eastAsia="zh-CN" w:bidi="ar"/>
              </w:rPr>
              <w:t>成员2名，且需执业5年（含）以上。</w:t>
            </w:r>
          </w:p>
        </w:tc>
      </w:tr>
      <w:tr w14:paraId="2DBD2CF9">
        <w:tblPrEx>
          <w:tblCellMar>
            <w:top w:w="0" w:type="dxa"/>
            <w:left w:w="108" w:type="dxa"/>
            <w:bottom w:w="0" w:type="dxa"/>
            <w:right w:w="108" w:type="dxa"/>
          </w:tblCellMar>
        </w:tblPrEx>
        <w:trPr>
          <w:trHeight w:val="9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1C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70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bidi="ar"/>
              </w:rPr>
              <w:t>业绩证明</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940A">
            <w:pPr>
              <w:pStyle w:val="20"/>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eastAsia"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eastAsia="zh-CN" w:bidi="ar"/>
              </w:rPr>
              <w:t>参选供应商</w:t>
            </w:r>
            <w:r>
              <w:rPr>
                <w:rFonts w:hint="eastAsia" w:ascii="仿宋_GB2312" w:hAnsi="仿宋_GB2312" w:eastAsia="仿宋_GB2312" w:cs="仿宋_GB2312"/>
                <w:color w:val="auto"/>
                <w:sz w:val="32"/>
                <w:szCs w:val="32"/>
                <w:lang w:val="en-US" w:eastAsia="zh-CN"/>
              </w:rPr>
              <w:t>应当</w:t>
            </w:r>
            <w:r>
              <w:rPr>
                <w:rFonts w:hint="eastAsia" w:ascii="仿宋_GB2312" w:hAnsi="仿宋_GB2312" w:eastAsia="仿宋_GB2312" w:cs="仿宋_GB2312"/>
                <w:color w:val="auto"/>
                <w:sz w:val="32"/>
                <w:szCs w:val="32"/>
                <w:lang w:val="en-US" w:eastAsia="zh-CN" w:bidi="ar"/>
              </w:rPr>
              <w:t>具有</w:t>
            </w:r>
            <w:r>
              <w:rPr>
                <w:rFonts w:hint="eastAsia" w:ascii="仿宋_GB2312" w:hAnsi="仿宋_GB2312" w:eastAsia="仿宋_GB2312" w:cs="仿宋_GB2312"/>
                <w:color w:val="auto"/>
                <w:sz w:val="32"/>
                <w:szCs w:val="32"/>
                <w:lang w:eastAsia="zh-CN" w:bidi="ar"/>
              </w:rPr>
              <w:t>熟悉或拥有</w:t>
            </w:r>
            <w:r>
              <w:rPr>
                <w:rFonts w:hint="eastAsia" w:ascii="仿宋_GB2312" w:hAnsi="仿宋_GB2312" w:eastAsia="仿宋_GB2312" w:cs="仿宋_GB2312"/>
                <w:color w:val="auto"/>
                <w:sz w:val="32"/>
                <w:szCs w:val="32"/>
                <w:lang w:val="en-US" w:eastAsia="zh-CN" w:bidi="ar"/>
              </w:rPr>
              <w:t>公司法领域股权业务</w:t>
            </w:r>
            <w:r>
              <w:rPr>
                <w:rFonts w:hint="eastAsia" w:ascii="仿宋_GB2312" w:hAnsi="仿宋_GB2312" w:eastAsia="仿宋_GB2312" w:cs="仿宋_GB2312"/>
                <w:color w:val="auto"/>
                <w:sz w:val="32"/>
                <w:szCs w:val="32"/>
                <w:lang w:eastAsia="zh-CN" w:bidi="ar"/>
              </w:rPr>
              <w:t>操作以及法律诉讼</w:t>
            </w:r>
            <w:r>
              <w:rPr>
                <w:rFonts w:hint="eastAsia" w:ascii="仿宋_GB2312" w:hAnsi="仿宋_GB2312" w:eastAsia="仿宋_GB2312" w:cs="仿宋_GB2312"/>
                <w:color w:val="auto"/>
                <w:sz w:val="32"/>
                <w:szCs w:val="32"/>
                <w:lang w:val="en-US" w:eastAsia="zh-CN" w:bidi="ar"/>
              </w:rPr>
              <w:t>或</w:t>
            </w:r>
            <w:r>
              <w:rPr>
                <w:rFonts w:hint="eastAsia" w:ascii="仿宋_GB2312" w:hAnsi="仿宋_GB2312" w:eastAsia="仿宋_GB2312" w:cs="仿宋_GB2312"/>
                <w:color w:val="auto"/>
                <w:sz w:val="32"/>
                <w:szCs w:val="32"/>
                <w:lang w:eastAsia="zh-CN" w:bidi="ar"/>
              </w:rPr>
              <w:t>非诉讼等丰富经验；（</w:t>
            </w:r>
            <w:r>
              <w:rPr>
                <w:rFonts w:hint="eastAsia" w:ascii="仿宋_GB2312" w:hAnsi="仿宋_GB2312" w:eastAsia="仿宋_GB2312" w:cs="仿宋_GB2312"/>
                <w:color w:val="auto"/>
                <w:sz w:val="32"/>
                <w:szCs w:val="32"/>
                <w:lang w:val="en-US" w:eastAsia="zh-CN" w:bidi="ar"/>
              </w:rPr>
              <w:t>提供</w:t>
            </w:r>
            <w:r>
              <w:rPr>
                <w:rFonts w:hint="eastAsia" w:ascii="仿宋_GB2312" w:hAnsi="仿宋_GB2312" w:eastAsia="仿宋_GB2312" w:cs="仿宋_GB2312"/>
                <w:color w:val="auto"/>
                <w:sz w:val="32"/>
                <w:szCs w:val="32"/>
                <w:lang w:eastAsia="zh-CN" w:bidi="ar"/>
              </w:rPr>
              <w:t>至少一个</w:t>
            </w:r>
            <w:r>
              <w:rPr>
                <w:rFonts w:hint="eastAsia" w:ascii="仿宋_GB2312" w:hAnsi="仿宋_GB2312" w:eastAsia="仿宋_GB2312" w:cs="仿宋_GB2312"/>
                <w:color w:val="auto"/>
                <w:sz w:val="32"/>
                <w:szCs w:val="32"/>
                <w:lang w:val="en-US" w:eastAsia="zh-CN" w:bidi="ar"/>
              </w:rPr>
              <w:t>大型国有企业常年法律顾问合同</w:t>
            </w:r>
            <w:r>
              <w:rPr>
                <w:rFonts w:hint="eastAsia" w:ascii="仿宋_GB2312" w:hAnsi="仿宋_GB2312" w:eastAsia="仿宋_GB2312" w:cs="仿宋_GB2312"/>
                <w:color w:val="auto"/>
                <w:sz w:val="32"/>
                <w:szCs w:val="32"/>
                <w:lang w:eastAsia="zh-CN" w:bidi="ar"/>
              </w:rPr>
              <w:t>）</w:t>
            </w:r>
          </w:p>
          <w:p w14:paraId="67626FA1">
            <w:pPr>
              <w:pStyle w:val="20"/>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bidi="ar"/>
              </w:rPr>
              <w:t>参选供应商</w:t>
            </w:r>
            <w:r>
              <w:rPr>
                <w:rFonts w:hint="eastAsia" w:ascii="仿宋_GB2312" w:hAnsi="仿宋_GB2312" w:eastAsia="仿宋_GB2312" w:cs="仿宋_GB2312"/>
                <w:color w:val="auto"/>
                <w:sz w:val="32"/>
                <w:szCs w:val="32"/>
              </w:rPr>
              <w:t>拟指派律师</w:t>
            </w:r>
            <w:r>
              <w:rPr>
                <w:rFonts w:hint="eastAsia" w:ascii="仿宋_GB2312" w:hAnsi="仿宋_GB2312" w:eastAsia="仿宋_GB2312" w:cs="仿宋_GB2312"/>
                <w:color w:val="auto"/>
                <w:sz w:val="32"/>
                <w:szCs w:val="32"/>
                <w:lang w:val="en-US" w:eastAsia="zh-CN"/>
              </w:rPr>
              <w:t>应当</w:t>
            </w:r>
            <w:r>
              <w:rPr>
                <w:rFonts w:hint="eastAsia" w:ascii="仿宋_GB2312" w:hAnsi="仿宋_GB2312" w:eastAsia="仿宋_GB2312" w:cs="仿宋_GB2312"/>
                <w:color w:val="auto"/>
                <w:sz w:val="32"/>
                <w:szCs w:val="32"/>
                <w:lang w:val="en-US" w:eastAsia="zh-CN" w:bidi="ar"/>
              </w:rPr>
              <w:t>具有</w:t>
            </w:r>
            <w:r>
              <w:rPr>
                <w:rFonts w:hint="eastAsia" w:ascii="仿宋_GB2312" w:hAnsi="仿宋_GB2312" w:eastAsia="仿宋_GB2312" w:cs="仿宋_GB2312"/>
                <w:color w:val="auto"/>
                <w:sz w:val="32"/>
                <w:szCs w:val="32"/>
                <w:lang w:eastAsia="zh-CN" w:bidi="ar"/>
              </w:rPr>
              <w:t>熟悉或拥有</w:t>
            </w:r>
            <w:r>
              <w:rPr>
                <w:rFonts w:hint="eastAsia" w:ascii="仿宋_GB2312" w:hAnsi="仿宋_GB2312" w:eastAsia="仿宋_GB2312" w:cs="仿宋_GB2312"/>
                <w:color w:val="auto"/>
                <w:sz w:val="32"/>
                <w:szCs w:val="32"/>
                <w:lang w:val="en-US" w:eastAsia="zh-CN" w:bidi="ar"/>
              </w:rPr>
              <w:t>公司法领域股权业务</w:t>
            </w:r>
            <w:r>
              <w:rPr>
                <w:rFonts w:hint="eastAsia" w:ascii="仿宋_GB2312" w:hAnsi="仿宋_GB2312" w:eastAsia="仿宋_GB2312" w:cs="仿宋_GB2312"/>
                <w:color w:val="auto"/>
                <w:sz w:val="32"/>
                <w:szCs w:val="32"/>
                <w:lang w:eastAsia="zh-CN" w:bidi="ar"/>
              </w:rPr>
              <w:t>操作以及法律诉讼</w:t>
            </w:r>
            <w:r>
              <w:rPr>
                <w:rFonts w:hint="eastAsia" w:ascii="仿宋_GB2312" w:hAnsi="仿宋_GB2312" w:eastAsia="仿宋_GB2312" w:cs="仿宋_GB2312"/>
                <w:color w:val="auto"/>
                <w:sz w:val="32"/>
                <w:szCs w:val="32"/>
                <w:lang w:val="en-US" w:eastAsia="zh-CN" w:bidi="ar"/>
              </w:rPr>
              <w:t>或</w:t>
            </w:r>
            <w:r>
              <w:rPr>
                <w:rFonts w:hint="eastAsia" w:ascii="仿宋_GB2312" w:hAnsi="仿宋_GB2312" w:eastAsia="仿宋_GB2312" w:cs="仿宋_GB2312"/>
                <w:color w:val="auto"/>
                <w:sz w:val="32"/>
                <w:szCs w:val="32"/>
                <w:lang w:eastAsia="zh-CN" w:bidi="ar"/>
              </w:rPr>
              <w:t>非诉讼等丰富经验。（提供至少一个</w:t>
            </w:r>
            <w:r>
              <w:rPr>
                <w:rFonts w:hint="eastAsia" w:ascii="仿宋_GB2312" w:hAnsi="仿宋_GB2312" w:eastAsia="仿宋_GB2312" w:cs="仿宋_GB2312"/>
                <w:color w:val="auto"/>
                <w:sz w:val="32"/>
                <w:szCs w:val="32"/>
                <w:lang w:val="en-US" w:eastAsia="zh-CN" w:bidi="ar"/>
              </w:rPr>
              <w:t>代理</w:t>
            </w:r>
            <w:r>
              <w:rPr>
                <w:rFonts w:hint="eastAsia" w:ascii="仿宋_GB2312" w:hAnsi="仿宋_GB2312" w:eastAsia="仿宋_GB2312" w:cs="仿宋_GB2312"/>
                <w:color w:val="auto"/>
                <w:sz w:val="32"/>
                <w:szCs w:val="32"/>
                <w:lang w:eastAsia="zh-CN" w:bidi="ar"/>
              </w:rPr>
              <w:t>合同、</w:t>
            </w:r>
            <w:r>
              <w:rPr>
                <w:rFonts w:hint="eastAsia" w:ascii="仿宋_GB2312" w:hAnsi="仿宋_GB2312" w:eastAsia="仿宋_GB2312" w:cs="仿宋_GB2312"/>
                <w:color w:val="auto"/>
                <w:sz w:val="32"/>
                <w:szCs w:val="32"/>
                <w:lang w:val="en-US" w:eastAsia="zh-CN" w:bidi="ar"/>
              </w:rPr>
              <w:t>判决或</w:t>
            </w:r>
            <w:r>
              <w:rPr>
                <w:rFonts w:hint="eastAsia" w:ascii="仿宋_GB2312" w:hAnsi="仿宋_GB2312" w:eastAsia="仿宋_GB2312" w:cs="仿宋_GB2312"/>
                <w:color w:val="auto"/>
                <w:sz w:val="32"/>
                <w:szCs w:val="32"/>
                <w:lang w:eastAsia="zh-CN" w:bidi="ar"/>
              </w:rPr>
              <w:t>案例）</w:t>
            </w:r>
          </w:p>
        </w:tc>
      </w:tr>
    </w:tbl>
    <w:p w14:paraId="6415B668">
      <w:pPr>
        <w:rPr>
          <w:color w:val="auto"/>
        </w:rPr>
        <w:sectPr>
          <w:pgSz w:w="16838" w:h="11906" w:orient="landscape"/>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bCs/>
          <w:color w:val="auto"/>
          <w:sz w:val="32"/>
          <w:szCs w:val="32"/>
          <w:lang w:eastAsia="zh-CN" w:bidi="ar"/>
        </w:rPr>
        <w:t>注：</w:t>
      </w:r>
      <w:r>
        <w:rPr>
          <w:rFonts w:hint="eastAsia" w:ascii="仿宋_GB2312" w:hAnsi="仿宋_GB2312" w:eastAsia="仿宋_GB2312" w:cs="仿宋_GB2312"/>
          <w:color w:val="auto"/>
          <w:sz w:val="32"/>
          <w:szCs w:val="32"/>
          <w:lang w:eastAsia="zh-CN" w:bidi="ar"/>
        </w:rPr>
        <w:t>上述</w:t>
      </w:r>
      <w:r>
        <w:rPr>
          <w:rFonts w:hint="eastAsia" w:ascii="仿宋_GB2312" w:hAnsi="仿宋_GB2312" w:eastAsia="仿宋_GB2312" w:cs="仿宋_GB2312"/>
          <w:color w:val="auto"/>
          <w:sz w:val="32"/>
          <w:szCs w:val="32"/>
          <w:lang w:val="en-US" w:eastAsia="zh-CN" w:bidi="ar"/>
        </w:rPr>
        <w:t>资格</w:t>
      </w:r>
      <w:r>
        <w:rPr>
          <w:rFonts w:hint="eastAsia" w:ascii="仿宋_GB2312" w:hAnsi="仿宋_GB2312" w:eastAsia="仿宋_GB2312" w:cs="仿宋_GB2312"/>
          <w:color w:val="auto"/>
          <w:sz w:val="32"/>
          <w:szCs w:val="32"/>
          <w:lang w:eastAsia="zh-CN" w:bidi="ar"/>
        </w:rPr>
        <w:t>条件要求中，以分支机构名义申报的，需提供分支机构证明文件；以总部名义申报的，需提供总部证明文件。</w:t>
      </w:r>
    </w:p>
    <w:p w14:paraId="5E82A60D">
      <w:pPr>
        <w:pStyle w:val="3"/>
        <w:pageBreakBefore w:val="0"/>
        <w:widowControl w:val="0"/>
        <w:numPr>
          <w:ilvl w:val="0"/>
          <w:numId w:val="0"/>
        </w:numPr>
        <w:kinsoku/>
        <w:wordWrap/>
        <w:overflowPunct/>
        <w:topLinePunct w:val="0"/>
        <w:autoSpaceDE/>
        <w:autoSpaceDN/>
        <w:bidi w:val="0"/>
        <w:adjustRightInd/>
        <w:snapToGrid/>
        <w:spacing w:before="0" w:after="0" w:line="240" w:lineRule="auto"/>
        <w:ind w:left="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七、综合评分表</w:t>
      </w:r>
    </w:p>
    <w:tbl>
      <w:tblPr>
        <w:tblStyle w:val="9"/>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580"/>
        <w:gridCol w:w="699"/>
        <w:gridCol w:w="906"/>
        <w:gridCol w:w="6871"/>
      </w:tblGrid>
      <w:tr w14:paraId="615B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0" w:type="pct"/>
            <w:shd w:val="clear" w:color="auto" w:fill="FFFFFF"/>
            <w:tcMar>
              <w:top w:w="15" w:type="dxa"/>
              <w:left w:w="15" w:type="dxa"/>
              <w:right w:w="15" w:type="dxa"/>
            </w:tcMar>
            <w:vAlign w:val="center"/>
          </w:tcPr>
          <w:p w14:paraId="4573BBA2">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b/>
                <w:bCs/>
                <w:color w:val="auto"/>
                <w:kern w:val="0"/>
                <w:sz w:val="32"/>
                <w:szCs w:val="32"/>
                <w:lang w:val="en-US"/>
              </w:rPr>
            </w:pPr>
            <w:r>
              <w:rPr>
                <w:rFonts w:hint="eastAsia" w:ascii="仿宋_GB2312" w:hAnsi="仿宋_GB2312" w:eastAsia="仿宋_GB2312" w:cs="仿宋_GB2312"/>
                <w:b/>
                <w:bCs/>
                <w:color w:val="auto"/>
                <w:kern w:val="0"/>
                <w:sz w:val="32"/>
                <w:szCs w:val="32"/>
                <w:lang w:val="en-US" w:eastAsia="zh-CN" w:bidi="ar"/>
              </w:rPr>
              <w:t>序号</w:t>
            </w:r>
          </w:p>
        </w:tc>
        <w:tc>
          <w:tcPr>
            <w:tcW w:w="386" w:type="pct"/>
            <w:shd w:val="clear" w:color="auto" w:fill="FFFFFF"/>
            <w:tcMar>
              <w:top w:w="15" w:type="dxa"/>
              <w:left w:w="15" w:type="dxa"/>
              <w:right w:w="15" w:type="dxa"/>
            </w:tcMar>
            <w:vAlign w:val="center"/>
          </w:tcPr>
          <w:p w14:paraId="34EA1CBB">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b/>
                <w:bCs/>
                <w:color w:val="auto"/>
                <w:kern w:val="0"/>
                <w:sz w:val="32"/>
                <w:szCs w:val="32"/>
                <w:lang w:val="en-US"/>
              </w:rPr>
            </w:pPr>
            <w:r>
              <w:rPr>
                <w:rFonts w:hint="eastAsia" w:ascii="仿宋_GB2312" w:hAnsi="仿宋_GB2312" w:eastAsia="仿宋_GB2312" w:cs="仿宋_GB2312"/>
                <w:b/>
                <w:bCs/>
                <w:color w:val="auto"/>
                <w:kern w:val="0"/>
                <w:sz w:val="32"/>
                <w:szCs w:val="32"/>
                <w:lang w:val="en-US" w:eastAsia="zh-CN" w:bidi="ar"/>
              </w:rPr>
              <w:t>评分内容</w:t>
            </w:r>
          </w:p>
        </w:tc>
        <w:tc>
          <w:tcPr>
            <w:tcW w:w="500" w:type="pct"/>
            <w:shd w:val="clear" w:color="auto" w:fill="FFFFFF"/>
            <w:tcMar>
              <w:top w:w="15" w:type="dxa"/>
              <w:left w:w="15" w:type="dxa"/>
              <w:right w:w="15" w:type="dxa"/>
            </w:tcMar>
            <w:vAlign w:val="center"/>
          </w:tcPr>
          <w:p w14:paraId="529B88EE">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b/>
                <w:bCs/>
                <w:color w:val="auto"/>
                <w:kern w:val="0"/>
                <w:sz w:val="32"/>
                <w:szCs w:val="32"/>
                <w:lang w:val="en-US"/>
              </w:rPr>
            </w:pPr>
            <w:r>
              <w:rPr>
                <w:rFonts w:hint="eastAsia" w:ascii="仿宋_GB2312" w:hAnsi="仿宋_GB2312" w:eastAsia="仿宋_GB2312" w:cs="仿宋_GB2312"/>
                <w:b/>
                <w:bCs/>
                <w:color w:val="auto"/>
                <w:kern w:val="0"/>
                <w:sz w:val="32"/>
                <w:szCs w:val="32"/>
                <w:lang w:val="en-US" w:eastAsia="zh-CN" w:bidi="ar"/>
              </w:rPr>
              <w:t>评审分值</w:t>
            </w:r>
          </w:p>
        </w:tc>
        <w:tc>
          <w:tcPr>
            <w:tcW w:w="3792" w:type="pct"/>
            <w:shd w:val="clear" w:color="auto" w:fill="FFFFFF"/>
            <w:tcMar>
              <w:top w:w="15" w:type="dxa"/>
              <w:left w:w="15" w:type="dxa"/>
              <w:right w:w="15" w:type="dxa"/>
            </w:tcMar>
            <w:vAlign w:val="center"/>
          </w:tcPr>
          <w:p w14:paraId="1E156325">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b/>
                <w:bCs/>
                <w:color w:val="auto"/>
                <w:kern w:val="0"/>
                <w:sz w:val="32"/>
                <w:szCs w:val="32"/>
                <w:lang w:val="en-US"/>
              </w:rPr>
            </w:pPr>
            <w:r>
              <w:rPr>
                <w:rFonts w:hint="eastAsia" w:ascii="仿宋_GB2312" w:hAnsi="仿宋_GB2312" w:eastAsia="仿宋_GB2312" w:cs="仿宋_GB2312"/>
                <w:b/>
                <w:bCs/>
                <w:color w:val="auto"/>
                <w:kern w:val="0"/>
                <w:sz w:val="32"/>
                <w:szCs w:val="32"/>
                <w:lang w:val="en-US" w:eastAsia="zh-CN" w:bidi="ar"/>
              </w:rPr>
              <w:t>评分标准</w:t>
            </w:r>
          </w:p>
        </w:tc>
      </w:tr>
      <w:tr w14:paraId="23F1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5" w:hRule="atLeast"/>
        </w:trPr>
        <w:tc>
          <w:tcPr>
            <w:tcW w:w="320" w:type="pct"/>
            <w:shd w:val="clear" w:color="auto" w:fill="FFFFFF"/>
            <w:tcMar>
              <w:top w:w="15" w:type="dxa"/>
              <w:left w:w="15" w:type="dxa"/>
              <w:right w:w="15" w:type="dxa"/>
            </w:tcMar>
            <w:vAlign w:val="center"/>
          </w:tcPr>
          <w:p w14:paraId="79B194D7">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1</w:t>
            </w:r>
          </w:p>
        </w:tc>
        <w:tc>
          <w:tcPr>
            <w:tcW w:w="386" w:type="pct"/>
            <w:shd w:val="clear" w:color="auto" w:fill="FFFFFF"/>
            <w:tcMar>
              <w:top w:w="15" w:type="dxa"/>
              <w:left w:w="15" w:type="dxa"/>
              <w:right w:w="15" w:type="dxa"/>
            </w:tcMar>
            <w:vAlign w:val="center"/>
          </w:tcPr>
          <w:p w14:paraId="4188B357">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服务方案</w:t>
            </w:r>
          </w:p>
        </w:tc>
        <w:tc>
          <w:tcPr>
            <w:tcW w:w="500" w:type="pct"/>
            <w:shd w:val="clear" w:color="auto" w:fill="FFFFFF"/>
            <w:tcMar>
              <w:top w:w="15" w:type="dxa"/>
              <w:left w:w="15" w:type="dxa"/>
              <w:right w:w="15" w:type="dxa"/>
            </w:tcMar>
            <w:vAlign w:val="center"/>
          </w:tcPr>
          <w:p w14:paraId="6ABC3B5B">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60</w:t>
            </w:r>
          </w:p>
        </w:tc>
        <w:tc>
          <w:tcPr>
            <w:tcW w:w="3792" w:type="pct"/>
            <w:shd w:val="clear" w:color="auto" w:fill="FFFFFF"/>
            <w:tcMar>
              <w:top w:w="15" w:type="dxa"/>
              <w:left w:w="15" w:type="dxa"/>
              <w:right w:w="15" w:type="dxa"/>
            </w:tcMar>
            <w:vAlign w:val="center"/>
          </w:tcPr>
          <w:p w14:paraId="21B4943B">
            <w:pPr>
              <w:keepNext w:val="0"/>
              <w:keepLines w:val="0"/>
              <w:pageBreakBefore w:val="0"/>
              <w:widowControl/>
              <w:numPr>
                <w:ilvl w:val="0"/>
                <w:numId w:val="5"/>
              </w:numPr>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服务方案的编制情况（含执业经验、服务能力、服务内容、工作实施、质量控制、风险控制、人员安排等），对工作安排与项目要求的匹配程度、工作方法的适用度、工作流程的有序性、科学性。</w:t>
            </w:r>
          </w:p>
          <w:p w14:paraId="3E5C28D2">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按照响应文件响应情况进行横向比较，分档评分：优得 10-8 分数；良得 7-5 分；一般得 4-2 分；差得1分。（满分 10 分）</w:t>
            </w:r>
          </w:p>
          <w:p w14:paraId="5F414ED8">
            <w:pPr>
              <w:keepNext w:val="0"/>
              <w:keepLines w:val="0"/>
              <w:pageBreakBefore w:val="0"/>
              <w:widowControl/>
              <w:numPr>
                <w:ilvl w:val="0"/>
                <w:numId w:val="5"/>
              </w:numPr>
              <w:suppressLineNumbers w:val="0"/>
              <w:kinsoku/>
              <w:wordWrap w:val="0"/>
              <w:overflowPunct w:val="0"/>
              <w:topLinePunct w:val="0"/>
              <w:autoSpaceDE/>
              <w:autoSpaceDN/>
              <w:bidi w:val="0"/>
              <w:adjustRightInd/>
              <w:snapToGrid/>
              <w:spacing w:before="0" w:beforeAutospacing="0" w:after="0" w:afterAutospacing="0" w:line="500" w:lineRule="exact"/>
              <w:ind w:left="0" w:leftChars="0" w:right="0" w:firstLine="0" w:firstLineChars="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服务项目的重难点分析合理准确，处理方案、诉讼策略是否科学可行。</w:t>
            </w:r>
          </w:p>
          <w:p w14:paraId="6193946D">
            <w:pPr>
              <w:keepNext w:val="0"/>
              <w:keepLines w:val="0"/>
              <w:pageBreakBefore w:val="0"/>
              <w:widowControl/>
              <w:numPr>
                <w:ilvl w:val="0"/>
                <w:numId w:val="0"/>
              </w:numPr>
              <w:suppressLineNumbers w:val="0"/>
              <w:kinsoku/>
              <w:wordWrap w:val="0"/>
              <w:overflowPunct w:val="0"/>
              <w:topLinePunct w:val="0"/>
              <w:autoSpaceDE/>
              <w:autoSpaceDN/>
              <w:bidi w:val="0"/>
              <w:adjustRightInd/>
              <w:snapToGrid/>
              <w:spacing w:before="0" w:beforeAutospacing="0" w:after="0" w:afterAutospacing="0" w:line="500" w:lineRule="exact"/>
              <w:ind w:leftChars="0" w:right="0" w:rightChars="0"/>
              <w:jc w:val="both"/>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按照响应文件响应情况进行横向比较，分档评分：优得 30-21 分数；良得 20-11 分；一般得 10-1 分；差不得分。（满分 30 分）</w:t>
            </w:r>
          </w:p>
          <w:p w14:paraId="116010F1">
            <w:pPr>
              <w:keepNext w:val="0"/>
              <w:keepLines w:val="0"/>
              <w:pageBreakBefore w:val="0"/>
              <w:widowControl/>
              <w:numPr>
                <w:ilvl w:val="0"/>
                <w:numId w:val="5"/>
              </w:numPr>
              <w:suppressLineNumbers w:val="0"/>
              <w:kinsoku/>
              <w:wordWrap w:val="0"/>
              <w:overflowPunct w:val="0"/>
              <w:topLinePunct w:val="0"/>
              <w:autoSpaceDE/>
              <w:autoSpaceDN/>
              <w:bidi w:val="0"/>
              <w:adjustRightInd/>
              <w:snapToGrid/>
              <w:spacing w:before="0" w:beforeAutospacing="0" w:after="0" w:afterAutospacing="0" w:line="500" w:lineRule="exact"/>
              <w:ind w:left="0" w:leftChars="0" w:right="0" w:firstLine="0" w:firstLineChars="0"/>
              <w:jc w:val="both"/>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服务质量的保障方案完整、保障措施具体有效，对项目整体法律风险的分析。</w:t>
            </w:r>
          </w:p>
          <w:p w14:paraId="0F722394">
            <w:pPr>
              <w:keepNext w:val="0"/>
              <w:keepLines w:val="0"/>
              <w:pageBreakBefore w:val="0"/>
              <w:widowControl/>
              <w:numPr>
                <w:ilvl w:val="0"/>
                <w:numId w:val="0"/>
              </w:numPr>
              <w:suppressLineNumbers w:val="0"/>
              <w:kinsoku/>
              <w:wordWrap w:val="0"/>
              <w:overflowPunct w:val="0"/>
              <w:topLinePunct w:val="0"/>
              <w:autoSpaceDE/>
              <w:autoSpaceDN/>
              <w:bidi w:val="0"/>
              <w:adjustRightInd/>
              <w:snapToGrid/>
              <w:spacing w:before="0" w:beforeAutospacing="0" w:after="0" w:afterAutospacing="0" w:line="500" w:lineRule="exact"/>
              <w:ind w:leftChars="0" w:right="0" w:rightChars="0"/>
              <w:jc w:val="both"/>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按照响应文件响应情况进行横向比较，分档评分：优得 10-8 分数；良得 7-5 分；一般得 4-2 分；差得1分。（满分 10 分）</w:t>
            </w:r>
          </w:p>
          <w:p w14:paraId="6D153EC6">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4、服务项目实施各阶段进度及时反馈，响应服务对象咨询时间，承诺项目期满后，针对项目问题提供必要解释、咨询。</w:t>
            </w:r>
          </w:p>
          <w:p w14:paraId="2F9D74AC">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按照响应文件响应情况进行横向比较，分档评分：优得 10-8 分数；良得 7-5 分；一般得 4-2 分；差得1分。（满分 10 分）</w:t>
            </w:r>
          </w:p>
        </w:tc>
      </w:tr>
      <w:tr w14:paraId="391F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0" w:type="pct"/>
            <w:shd w:val="clear" w:color="auto" w:fill="FFFFFF"/>
            <w:tcMar>
              <w:top w:w="15" w:type="dxa"/>
              <w:left w:w="15" w:type="dxa"/>
              <w:right w:w="15" w:type="dxa"/>
            </w:tcMar>
            <w:vAlign w:val="center"/>
          </w:tcPr>
          <w:p w14:paraId="02B3EC42">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2</w:t>
            </w:r>
          </w:p>
        </w:tc>
        <w:tc>
          <w:tcPr>
            <w:tcW w:w="386" w:type="pct"/>
            <w:shd w:val="clear" w:color="auto" w:fill="FFFFFF"/>
            <w:tcMar>
              <w:top w:w="15" w:type="dxa"/>
              <w:left w:w="15" w:type="dxa"/>
              <w:right w:w="15" w:type="dxa"/>
            </w:tcMar>
            <w:vAlign w:val="center"/>
          </w:tcPr>
          <w:p w14:paraId="7103C6AD">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服务人员配备情况</w:t>
            </w:r>
          </w:p>
        </w:tc>
        <w:tc>
          <w:tcPr>
            <w:tcW w:w="500" w:type="pct"/>
            <w:shd w:val="clear" w:color="auto" w:fill="FFFFFF"/>
            <w:tcMar>
              <w:top w:w="15" w:type="dxa"/>
              <w:left w:w="15" w:type="dxa"/>
              <w:right w:w="15" w:type="dxa"/>
            </w:tcMar>
            <w:vAlign w:val="center"/>
          </w:tcPr>
          <w:p w14:paraId="1F00A190">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10</w:t>
            </w:r>
          </w:p>
        </w:tc>
        <w:tc>
          <w:tcPr>
            <w:tcW w:w="3792" w:type="pct"/>
            <w:shd w:val="clear" w:color="auto" w:fill="FFFFFF"/>
            <w:tcMar>
              <w:top w:w="15" w:type="dxa"/>
              <w:left w:w="15" w:type="dxa"/>
              <w:right w:w="15" w:type="dxa"/>
            </w:tcMar>
            <w:vAlign w:val="center"/>
          </w:tcPr>
          <w:p w14:paraId="2A65351F">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指派律师的教育背景、工作年限、从业经历、擅长领域、相关代理案例、第三方评奖评优。</w:t>
            </w:r>
          </w:p>
          <w:p w14:paraId="17C0FDB0">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按照响应文件响应情况进行横向比较，分档评分：优得 10-8 分数；良得 7-5 分；一般得 4-2 分；差得1分。（满分 10 分）</w:t>
            </w:r>
          </w:p>
        </w:tc>
      </w:tr>
      <w:tr w14:paraId="78EF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0" w:type="pct"/>
            <w:shd w:val="clear" w:color="auto" w:fill="FFFFFF"/>
            <w:tcMar>
              <w:top w:w="15" w:type="dxa"/>
              <w:left w:w="15" w:type="dxa"/>
              <w:right w:w="15" w:type="dxa"/>
            </w:tcMar>
            <w:vAlign w:val="center"/>
          </w:tcPr>
          <w:p w14:paraId="1E6F57D0">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3</w:t>
            </w:r>
          </w:p>
        </w:tc>
        <w:tc>
          <w:tcPr>
            <w:tcW w:w="386" w:type="pct"/>
            <w:shd w:val="clear" w:color="auto" w:fill="FFFFFF"/>
            <w:tcMar>
              <w:top w:w="15" w:type="dxa"/>
              <w:left w:w="15" w:type="dxa"/>
              <w:right w:w="15" w:type="dxa"/>
            </w:tcMar>
            <w:vAlign w:val="center"/>
          </w:tcPr>
          <w:p w14:paraId="3A29A616">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经验及业绩情况</w:t>
            </w:r>
          </w:p>
        </w:tc>
        <w:tc>
          <w:tcPr>
            <w:tcW w:w="500" w:type="pct"/>
            <w:shd w:val="clear" w:color="auto" w:fill="FFFFFF"/>
            <w:tcMar>
              <w:top w:w="15" w:type="dxa"/>
              <w:left w:w="15" w:type="dxa"/>
              <w:right w:w="15" w:type="dxa"/>
            </w:tcMar>
            <w:vAlign w:val="center"/>
          </w:tcPr>
          <w:p w14:paraId="450AB504">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10</w:t>
            </w:r>
          </w:p>
        </w:tc>
        <w:tc>
          <w:tcPr>
            <w:tcW w:w="3792" w:type="pct"/>
            <w:shd w:val="clear" w:color="auto" w:fill="FFFFFF"/>
            <w:tcMar>
              <w:top w:w="15" w:type="dxa"/>
              <w:left w:w="15" w:type="dxa"/>
              <w:right w:w="15" w:type="dxa"/>
            </w:tcMar>
            <w:vAlign w:val="center"/>
          </w:tcPr>
          <w:p w14:paraId="3FB7D7E6">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提供大型国有企业股权诉讼案件代理合同复印件，每提供一份得2分。（满分 10 分）</w:t>
            </w:r>
          </w:p>
        </w:tc>
      </w:tr>
      <w:tr w14:paraId="0094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0" w:type="pct"/>
            <w:shd w:val="clear" w:color="auto" w:fill="FFFFFF"/>
            <w:tcMar>
              <w:top w:w="15" w:type="dxa"/>
              <w:left w:w="15" w:type="dxa"/>
              <w:right w:w="15" w:type="dxa"/>
            </w:tcMar>
            <w:vAlign w:val="center"/>
          </w:tcPr>
          <w:p w14:paraId="1F67FD48">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4</w:t>
            </w:r>
          </w:p>
        </w:tc>
        <w:tc>
          <w:tcPr>
            <w:tcW w:w="386" w:type="pct"/>
            <w:shd w:val="clear" w:color="auto" w:fill="FFFFFF"/>
            <w:tcMar>
              <w:top w:w="15" w:type="dxa"/>
              <w:left w:w="15" w:type="dxa"/>
              <w:right w:w="15" w:type="dxa"/>
            </w:tcMar>
            <w:vAlign w:val="center"/>
          </w:tcPr>
          <w:p w14:paraId="36B0F11E">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服务报价</w:t>
            </w:r>
          </w:p>
        </w:tc>
        <w:tc>
          <w:tcPr>
            <w:tcW w:w="500" w:type="pct"/>
            <w:shd w:val="clear" w:color="auto" w:fill="FFFFFF"/>
            <w:tcMar>
              <w:top w:w="15" w:type="dxa"/>
              <w:left w:w="15" w:type="dxa"/>
              <w:right w:w="15" w:type="dxa"/>
            </w:tcMar>
            <w:vAlign w:val="center"/>
          </w:tcPr>
          <w:p w14:paraId="7AD781B3">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20</w:t>
            </w:r>
          </w:p>
        </w:tc>
        <w:tc>
          <w:tcPr>
            <w:tcW w:w="3792" w:type="pct"/>
            <w:shd w:val="clear" w:color="auto" w:fill="FFFFFF"/>
            <w:tcMar>
              <w:top w:w="15" w:type="dxa"/>
              <w:left w:w="15" w:type="dxa"/>
              <w:right w:w="15" w:type="dxa"/>
            </w:tcMar>
            <w:vAlign w:val="center"/>
          </w:tcPr>
          <w:p w14:paraId="37C551FB">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满足比选文件要求且价格最低的投标价为基准价，其价格得分为满分。</w:t>
            </w:r>
          </w:p>
          <w:p w14:paraId="083B0DA4">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default"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sz w:val="32"/>
                <w:szCs w:val="32"/>
                <w:lang w:eastAsia="zh-CN" w:bidi="ar"/>
              </w:rPr>
              <w:t>参选供应商</w:t>
            </w:r>
            <w:r>
              <w:rPr>
                <w:rFonts w:hint="eastAsia" w:ascii="仿宋_GB2312" w:hAnsi="仿宋_GB2312" w:eastAsia="仿宋_GB2312" w:cs="仿宋_GB2312"/>
                <w:color w:val="auto"/>
                <w:kern w:val="0"/>
                <w:sz w:val="32"/>
                <w:szCs w:val="32"/>
                <w:lang w:val="en-US" w:eastAsia="zh-CN" w:bidi="ar"/>
              </w:rPr>
              <w:t>的价格分统一按照下列公式计算：价格得分=(基准价／服务报价)×20%×100</w:t>
            </w:r>
          </w:p>
        </w:tc>
      </w:tr>
    </w:tbl>
    <w:p w14:paraId="134A8C8E">
      <w:pPr>
        <w:rPr>
          <w:color w:val="auto"/>
        </w:rPr>
      </w:pPr>
    </w:p>
    <w:sectPr>
      <w:pgSz w:w="11906" w:h="16838"/>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8BA2A"/>
    <w:multiLevelType w:val="multilevel"/>
    <w:tmpl w:val="99A8BA2A"/>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2E"/>
    <w:multiLevelType w:val="multilevel"/>
    <w:tmpl w:val="0000002E"/>
    <w:lvl w:ilvl="0" w:tentative="0">
      <w:start w:val="1"/>
      <w:numFmt w:val="decimal"/>
      <w:pStyle w:val="2"/>
      <w:lvlText w:val="第%1章"/>
      <w:lvlJc w:val="left"/>
      <w:pPr>
        <w:ind w:left="283" w:hanging="425"/>
      </w:pPr>
      <w:rPr>
        <w:rFonts w:hint="default" w:ascii="Times New Roman" w:hAnsi="Times New Roman" w:eastAsia="宋体"/>
        <w:b/>
        <w:i w:val="0"/>
        <w:sz w:val="32"/>
        <w:szCs w:val="32"/>
      </w:rPr>
    </w:lvl>
    <w:lvl w:ilvl="1" w:tentative="0">
      <w:start w:val="1"/>
      <w:numFmt w:val="decimal"/>
      <w:pStyle w:val="3"/>
      <w:suff w:val="nothing"/>
      <w:lvlText w:val="%1.%2"/>
      <w:lvlJc w:val="left"/>
      <w:pPr>
        <w:ind w:left="567" w:hanging="567"/>
      </w:pPr>
      <w:rPr>
        <w:rFonts w:hint="default" w:ascii="宋体" w:hAnsi="宋体" w:eastAsia="宋体" w:cs="宋体"/>
        <w:b/>
        <w:i w:val="0"/>
        <w:color w:val="auto"/>
        <w:sz w:val="28"/>
        <w:szCs w:val="28"/>
      </w:rPr>
    </w:lvl>
    <w:lvl w:ilvl="2" w:tentative="0">
      <w:start w:val="1"/>
      <w:numFmt w:val="decimal"/>
      <w:pStyle w:val="4"/>
      <w:suff w:val="space"/>
      <w:lvlText w:val="%1.%2.%3"/>
      <w:lvlJc w:val="left"/>
      <w:pPr>
        <w:ind w:left="567" w:hanging="567"/>
      </w:pPr>
      <w:rPr>
        <w:rFonts w:hint="default" w:ascii="宋体" w:hAnsi="宋体" w:eastAsia="宋体" w:cs="宋体"/>
        <w:b/>
        <w:i w:val="0"/>
        <w:sz w:val="28"/>
      </w:rPr>
    </w:lvl>
    <w:lvl w:ilvl="3" w:tentative="0">
      <w:start w:val="1"/>
      <w:numFmt w:val="decimal"/>
      <w:suff w:val="nothing"/>
      <w:lvlText w:val="%1.%2.%3.%4"/>
      <w:lvlJc w:val="left"/>
      <w:pPr>
        <w:ind w:left="708" w:hanging="708"/>
      </w:pPr>
      <w:rPr>
        <w:rFonts w:hint="default" w:ascii="Times New Roman" w:hAnsi="Times New Roman" w:eastAsia="宋体" w:cs="Times New Roman"/>
        <w:b/>
        <w:i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abstractNum w:abstractNumId="2">
    <w:nsid w:val="22A12BC7"/>
    <w:multiLevelType w:val="multilevel"/>
    <w:tmpl w:val="22A12BC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FB7B938"/>
    <w:multiLevelType w:val="multilevel"/>
    <w:tmpl w:val="3FB7B93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6685EC2"/>
    <w:multiLevelType w:val="multilevel"/>
    <w:tmpl w:val="66685EC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lMTA2MGJhMjk5NjIwYmUwZTgwNjA3MTUxNzIxYjQifQ=="/>
  </w:docVars>
  <w:rsids>
    <w:rsidRoot w:val="00F257C7"/>
    <w:rsid w:val="000064D2"/>
    <w:rsid w:val="0003231F"/>
    <w:rsid w:val="00047EF5"/>
    <w:rsid w:val="0008248D"/>
    <w:rsid w:val="000836EA"/>
    <w:rsid w:val="000D190E"/>
    <w:rsid w:val="000D57C1"/>
    <w:rsid w:val="000F5F52"/>
    <w:rsid w:val="00136DE2"/>
    <w:rsid w:val="001478C0"/>
    <w:rsid w:val="00177A87"/>
    <w:rsid w:val="00195A61"/>
    <w:rsid w:val="001A3E67"/>
    <w:rsid w:val="001D6A81"/>
    <w:rsid w:val="001E2206"/>
    <w:rsid w:val="00250DB0"/>
    <w:rsid w:val="00251CCF"/>
    <w:rsid w:val="00263A61"/>
    <w:rsid w:val="002D27D2"/>
    <w:rsid w:val="003664D6"/>
    <w:rsid w:val="003D2C42"/>
    <w:rsid w:val="004B5B0C"/>
    <w:rsid w:val="004D5284"/>
    <w:rsid w:val="004F1A7C"/>
    <w:rsid w:val="004F310D"/>
    <w:rsid w:val="004F5E98"/>
    <w:rsid w:val="00515011"/>
    <w:rsid w:val="00567449"/>
    <w:rsid w:val="005A6CFB"/>
    <w:rsid w:val="005C5C28"/>
    <w:rsid w:val="00655170"/>
    <w:rsid w:val="006F75A3"/>
    <w:rsid w:val="00731CF7"/>
    <w:rsid w:val="007A3B07"/>
    <w:rsid w:val="007C2465"/>
    <w:rsid w:val="007D0E9F"/>
    <w:rsid w:val="007D5CAA"/>
    <w:rsid w:val="007E2AFC"/>
    <w:rsid w:val="00871F58"/>
    <w:rsid w:val="00882058"/>
    <w:rsid w:val="008F28B0"/>
    <w:rsid w:val="008F5184"/>
    <w:rsid w:val="00911380"/>
    <w:rsid w:val="009532E1"/>
    <w:rsid w:val="00972749"/>
    <w:rsid w:val="00974413"/>
    <w:rsid w:val="00996485"/>
    <w:rsid w:val="00A21146"/>
    <w:rsid w:val="00A604CD"/>
    <w:rsid w:val="00A60D02"/>
    <w:rsid w:val="00AA0150"/>
    <w:rsid w:val="00AA4CD4"/>
    <w:rsid w:val="00AB6B77"/>
    <w:rsid w:val="00AE0D94"/>
    <w:rsid w:val="00AE30F4"/>
    <w:rsid w:val="00B1117E"/>
    <w:rsid w:val="00C029D3"/>
    <w:rsid w:val="00C14034"/>
    <w:rsid w:val="00C250A2"/>
    <w:rsid w:val="00C93C6D"/>
    <w:rsid w:val="00C9782B"/>
    <w:rsid w:val="00CA5E49"/>
    <w:rsid w:val="00CD6329"/>
    <w:rsid w:val="00D21202"/>
    <w:rsid w:val="00D32954"/>
    <w:rsid w:val="00D447F3"/>
    <w:rsid w:val="00D8047E"/>
    <w:rsid w:val="00DC55B4"/>
    <w:rsid w:val="00DE3B5D"/>
    <w:rsid w:val="00E2124F"/>
    <w:rsid w:val="00E750CB"/>
    <w:rsid w:val="00EA40E9"/>
    <w:rsid w:val="00EA6572"/>
    <w:rsid w:val="00EC0509"/>
    <w:rsid w:val="00F257C7"/>
    <w:rsid w:val="00F47ADB"/>
    <w:rsid w:val="00FB3CF7"/>
    <w:rsid w:val="00FD0D1D"/>
    <w:rsid w:val="00FD2317"/>
    <w:rsid w:val="04F63B35"/>
    <w:rsid w:val="068B1EC9"/>
    <w:rsid w:val="0D200E92"/>
    <w:rsid w:val="113B356E"/>
    <w:rsid w:val="117D68B3"/>
    <w:rsid w:val="131E7C21"/>
    <w:rsid w:val="13405DEA"/>
    <w:rsid w:val="13906D71"/>
    <w:rsid w:val="150A4901"/>
    <w:rsid w:val="15A5287C"/>
    <w:rsid w:val="16EA49EA"/>
    <w:rsid w:val="191B532F"/>
    <w:rsid w:val="1A3B37AF"/>
    <w:rsid w:val="1A78230D"/>
    <w:rsid w:val="1B432D58"/>
    <w:rsid w:val="1D486795"/>
    <w:rsid w:val="1D72392A"/>
    <w:rsid w:val="1DB775F0"/>
    <w:rsid w:val="1EE066D3"/>
    <w:rsid w:val="1F227CCA"/>
    <w:rsid w:val="1FE65F6B"/>
    <w:rsid w:val="216830DB"/>
    <w:rsid w:val="2221772E"/>
    <w:rsid w:val="25AE3229"/>
    <w:rsid w:val="274243CE"/>
    <w:rsid w:val="28A30E9D"/>
    <w:rsid w:val="2B25203D"/>
    <w:rsid w:val="2B8F395A"/>
    <w:rsid w:val="2E232138"/>
    <w:rsid w:val="2E262354"/>
    <w:rsid w:val="2E2E1209"/>
    <w:rsid w:val="2F967065"/>
    <w:rsid w:val="317C04DD"/>
    <w:rsid w:val="31EC7411"/>
    <w:rsid w:val="330179C2"/>
    <w:rsid w:val="34501FA5"/>
    <w:rsid w:val="34EB1C02"/>
    <w:rsid w:val="354245C3"/>
    <w:rsid w:val="38552742"/>
    <w:rsid w:val="3872263A"/>
    <w:rsid w:val="39761CB6"/>
    <w:rsid w:val="39C11183"/>
    <w:rsid w:val="39C80763"/>
    <w:rsid w:val="3A5B15D7"/>
    <w:rsid w:val="3BBC60A6"/>
    <w:rsid w:val="3CE82DF3"/>
    <w:rsid w:val="3FAF7CCF"/>
    <w:rsid w:val="40C61775"/>
    <w:rsid w:val="414508EB"/>
    <w:rsid w:val="41DA7BE1"/>
    <w:rsid w:val="42371B62"/>
    <w:rsid w:val="425012F6"/>
    <w:rsid w:val="43065E58"/>
    <w:rsid w:val="43A85162"/>
    <w:rsid w:val="43E3619A"/>
    <w:rsid w:val="46E6047B"/>
    <w:rsid w:val="49106291"/>
    <w:rsid w:val="4BBC5C4E"/>
    <w:rsid w:val="4E7C2D1C"/>
    <w:rsid w:val="4FD35DB4"/>
    <w:rsid w:val="510A745C"/>
    <w:rsid w:val="5201085F"/>
    <w:rsid w:val="52B4142D"/>
    <w:rsid w:val="53590226"/>
    <w:rsid w:val="564F4128"/>
    <w:rsid w:val="573E1C0D"/>
    <w:rsid w:val="57F73C53"/>
    <w:rsid w:val="581D7A74"/>
    <w:rsid w:val="59F64A21"/>
    <w:rsid w:val="5AB346C0"/>
    <w:rsid w:val="5BF64864"/>
    <w:rsid w:val="5D736B83"/>
    <w:rsid w:val="5F13397F"/>
    <w:rsid w:val="5FE71E13"/>
    <w:rsid w:val="64590086"/>
    <w:rsid w:val="64F71F79"/>
    <w:rsid w:val="650F4BE9"/>
    <w:rsid w:val="657C227E"/>
    <w:rsid w:val="66754F1F"/>
    <w:rsid w:val="693228AC"/>
    <w:rsid w:val="6A895812"/>
    <w:rsid w:val="6A9C0CCD"/>
    <w:rsid w:val="6D690305"/>
    <w:rsid w:val="707D6EAA"/>
    <w:rsid w:val="71157457"/>
    <w:rsid w:val="71BB412E"/>
    <w:rsid w:val="721455EC"/>
    <w:rsid w:val="721D6B97"/>
    <w:rsid w:val="7541236E"/>
    <w:rsid w:val="76B95249"/>
    <w:rsid w:val="7997722F"/>
    <w:rsid w:val="7BF070CA"/>
    <w:rsid w:val="7D366D5F"/>
    <w:rsid w:val="7D692C90"/>
    <w:rsid w:val="7D823D52"/>
    <w:rsid w:val="7DDC7906"/>
    <w:rsid w:val="7E462FD2"/>
    <w:rsid w:val="7EB45C6D"/>
    <w:rsid w:val="7EB50157"/>
    <w:rsid w:val="7F1D2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14:ligatures w14:val="none"/>
    </w:rPr>
  </w:style>
  <w:style w:type="paragraph" w:styleId="2">
    <w:name w:val="heading 1"/>
    <w:basedOn w:val="1"/>
    <w:next w:val="1"/>
    <w:link w:val="15"/>
    <w:qFormat/>
    <w:uiPriority w:val="0"/>
    <w:pPr>
      <w:keepNext/>
      <w:keepLines/>
      <w:numPr>
        <w:ilvl w:val="0"/>
        <w:numId w:val="1"/>
      </w:numPr>
      <w:spacing w:before="340" w:after="330" w:line="400" w:lineRule="exact"/>
      <w:jc w:val="center"/>
      <w:outlineLvl w:val="0"/>
    </w:pPr>
    <w:rPr>
      <w:rFonts w:ascii="宋体" w:hAnsi="宋体"/>
      <w:b/>
      <w:bCs/>
      <w:spacing w:val="-20"/>
      <w:kern w:val="44"/>
      <w:sz w:val="32"/>
      <w:szCs w:val="32"/>
    </w:rPr>
  </w:style>
  <w:style w:type="paragraph" w:styleId="3">
    <w:name w:val="heading 2"/>
    <w:basedOn w:val="1"/>
    <w:next w:val="1"/>
    <w:link w:val="16"/>
    <w:autoRedefine/>
    <w:qFormat/>
    <w:uiPriority w:val="0"/>
    <w:pPr>
      <w:keepNext/>
      <w:keepLines/>
      <w:numPr>
        <w:ilvl w:val="1"/>
        <w:numId w:val="1"/>
      </w:numPr>
      <w:spacing w:before="260" w:after="260" w:line="360" w:lineRule="auto"/>
      <w:jc w:val="left"/>
      <w:outlineLvl w:val="1"/>
    </w:pPr>
    <w:rPr>
      <w:rFonts w:ascii="宋体" w:hAnsi="宋体"/>
      <w:b/>
      <w:bCs/>
      <w:sz w:val="28"/>
      <w:szCs w:val="28"/>
    </w:rPr>
  </w:style>
  <w:style w:type="paragraph" w:styleId="4">
    <w:name w:val="heading 3"/>
    <w:basedOn w:val="1"/>
    <w:next w:val="1"/>
    <w:link w:val="17"/>
    <w:autoRedefine/>
    <w:qFormat/>
    <w:uiPriority w:val="0"/>
    <w:pPr>
      <w:keepNext/>
      <w:keepLines/>
      <w:numPr>
        <w:ilvl w:val="2"/>
        <w:numId w:val="1"/>
      </w:numPr>
      <w:spacing w:line="360" w:lineRule="auto"/>
      <w:outlineLvl w:val="2"/>
    </w:pPr>
    <w:rPr>
      <w:rFonts w:ascii="宋体" w:hAnsi="宋体"/>
      <w:b/>
      <w:bCs/>
      <w:color w:val="000000"/>
      <w:kern w:val="0"/>
      <w:sz w:val="28"/>
      <w:szCs w:val="28"/>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next w:val="1"/>
    <w:link w:val="18"/>
    <w:autoRedefine/>
    <w:qFormat/>
    <w:uiPriority w:val="0"/>
    <w:pPr>
      <w:spacing w:after="120"/>
    </w:p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autoRedefine/>
    <w:qFormat/>
    <w:uiPriority w:val="22"/>
    <w:rPr>
      <w:b/>
      <w:bCs/>
    </w:rPr>
  </w:style>
  <w:style w:type="character" w:customStyle="1" w:styleId="13">
    <w:name w:val="页眉 字符"/>
    <w:basedOn w:val="11"/>
    <w:link w:val="7"/>
    <w:autoRedefine/>
    <w:qFormat/>
    <w:uiPriority w:val="99"/>
    <w:rPr>
      <w:sz w:val="18"/>
      <w:szCs w:val="18"/>
    </w:rPr>
  </w:style>
  <w:style w:type="character" w:customStyle="1" w:styleId="14">
    <w:name w:val="页脚 字符"/>
    <w:basedOn w:val="11"/>
    <w:link w:val="6"/>
    <w:autoRedefine/>
    <w:qFormat/>
    <w:uiPriority w:val="99"/>
    <w:rPr>
      <w:sz w:val="18"/>
      <w:szCs w:val="18"/>
    </w:rPr>
  </w:style>
  <w:style w:type="character" w:customStyle="1" w:styleId="15">
    <w:name w:val="标题 1 字符"/>
    <w:basedOn w:val="11"/>
    <w:link w:val="2"/>
    <w:autoRedefine/>
    <w:qFormat/>
    <w:uiPriority w:val="0"/>
    <w:rPr>
      <w:rFonts w:ascii="宋体" w:hAnsi="宋体" w:eastAsia="宋体" w:cs="Times New Roman"/>
      <w:b/>
      <w:bCs/>
      <w:spacing w:val="-20"/>
      <w:kern w:val="44"/>
      <w:sz w:val="32"/>
      <w:szCs w:val="32"/>
      <w14:ligatures w14:val="none"/>
    </w:rPr>
  </w:style>
  <w:style w:type="character" w:customStyle="1" w:styleId="16">
    <w:name w:val="标题 2 字符"/>
    <w:basedOn w:val="11"/>
    <w:link w:val="3"/>
    <w:autoRedefine/>
    <w:qFormat/>
    <w:uiPriority w:val="0"/>
    <w:rPr>
      <w:rFonts w:ascii="宋体" w:hAnsi="宋体" w:eastAsia="宋体" w:cs="Times New Roman"/>
      <w:b/>
      <w:bCs/>
      <w:sz w:val="28"/>
      <w:szCs w:val="28"/>
      <w14:ligatures w14:val="none"/>
    </w:rPr>
  </w:style>
  <w:style w:type="character" w:customStyle="1" w:styleId="17">
    <w:name w:val="标题 3 字符"/>
    <w:basedOn w:val="11"/>
    <w:link w:val="4"/>
    <w:autoRedefine/>
    <w:qFormat/>
    <w:uiPriority w:val="0"/>
    <w:rPr>
      <w:rFonts w:ascii="宋体" w:hAnsi="宋体" w:eastAsia="宋体" w:cs="Times New Roman"/>
      <w:b/>
      <w:bCs/>
      <w:color w:val="000000"/>
      <w:kern w:val="0"/>
      <w:sz w:val="28"/>
      <w:szCs w:val="28"/>
      <w14:ligatures w14:val="none"/>
    </w:rPr>
  </w:style>
  <w:style w:type="character" w:customStyle="1" w:styleId="18">
    <w:name w:val="正文文本 字符"/>
    <w:basedOn w:val="11"/>
    <w:link w:val="5"/>
    <w:autoRedefine/>
    <w:qFormat/>
    <w:uiPriority w:val="0"/>
    <w:rPr>
      <w:rFonts w:ascii="Calibri" w:hAnsi="Calibri" w:eastAsia="宋体" w:cs="Times New Roman"/>
      <w14:ligatures w14:val="none"/>
    </w:rPr>
  </w:style>
  <w:style w:type="paragraph" w:customStyle="1" w:styleId="19">
    <w:name w:val="目录"/>
    <w:basedOn w:val="1"/>
    <w:autoRedefine/>
    <w:qFormat/>
    <w:uiPriority w:val="0"/>
    <w:pPr>
      <w:widowControl/>
      <w:jc w:val="center"/>
    </w:pPr>
    <w:rPr>
      <w:rFonts w:ascii="宋体" w:hAnsi="Times New Roman"/>
      <w:b/>
      <w:kern w:val="0"/>
      <w:sz w:val="36"/>
      <w:szCs w:val="20"/>
    </w:rPr>
  </w:style>
  <w:style w:type="paragraph" w:styleId="20">
    <w:name w:val="List Paragraph"/>
    <w:basedOn w:val="1"/>
    <w:autoRedefine/>
    <w:unhideWhenUsed/>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2547</Words>
  <Characters>2685</Characters>
  <Lines>12</Lines>
  <Paragraphs>3</Paragraphs>
  <TotalTime>1</TotalTime>
  <ScaleCrop>false</ScaleCrop>
  <LinksUpToDate>false</LinksUpToDate>
  <CharactersWithSpaces>2839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2024-07-19T10:15:00Z</dcterms:created>
  <dc:creator>绵翰 凌</dc:creator>
  <cp:lastModifiedBy>CYZEE</cp:lastModifiedBy>
  <cp:lastPrinted>2024-07-22T07:52:00Z</cp:lastPrinted>
  <dcterms:modified xsi:type="dcterms:W3CDTF">2025-02-24T09:16:27Z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1758059EBBBA485D8F70D533E3152585_13</vt:lpwstr>
  </property>
  <property fmtid="{D5CDD505-2E9C-101B-9397-08002B2CF9AE}" pid="4" name="KSOTemplateDocerSaveRecord">
    <vt:lpwstr>eyJoZGlkIjoiZjJiZDYwYTVkNDc3YzE5NzFmNTdkOGViNmMwZGNiODQiLCJ1c2VySWQiOiIxNTcyMDg2NDEzIn0=</vt:lpwstr>
  </property>
</Properties>
</file>