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9EE7DE">
      <w:pPr>
        <w:tabs>
          <w:tab w:val="left" w:pos="7125"/>
        </w:tabs>
        <w:jc w:val="center"/>
        <w:rPr>
          <w:rFonts w:ascii="宋体" w:hAnsi="宋体"/>
          <w:b/>
          <w:sz w:val="36"/>
          <w:szCs w:val="44"/>
        </w:rPr>
      </w:pPr>
    </w:p>
    <w:p w14:paraId="3F29495D">
      <w:pPr>
        <w:tabs>
          <w:tab w:val="left" w:pos="7125"/>
        </w:tabs>
        <w:jc w:val="center"/>
        <w:rPr>
          <w:rFonts w:hint="default" w:ascii="宋体" w:hAnsi="宋体"/>
          <w:b/>
          <w:sz w:val="52"/>
          <w:szCs w:val="52"/>
          <w:lang w:val="en-US" w:eastAsia="zh-CN"/>
        </w:rPr>
      </w:pPr>
      <w:r>
        <w:rPr>
          <w:rFonts w:hint="eastAsia" w:ascii="宋体" w:hAnsi="宋体"/>
          <w:b/>
          <w:sz w:val="52"/>
          <w:szCs w:val="52"/>
          <w:lang w:val="en-US" w:eastAsia="zh-CN"/>
        </w:rPr>
        <w:t>海南寅鼎实业有限公司</w:t>
      </w:r>
    </w:p>
    <w:p w14:paraId="6B45F47D">
      <w:pPr>
        <w:tabs>
          <w:tab w:val="left" w:pos="7125"/>
        </w:tabs>
        <w:jc w:val="center"/>
        <w:rPr>
          <w:rFonts w:hint="default" w:ascii="宋体" w:hAnsi="宋体"/>
          <w:b/>
          <w:sz w:val="52"/>
          <w:szCs w:val="52"/>
          <w:lang w:val="en-US"/>
        </w:rPr>
      </w:pPr>
      <w:r>
        <w:rPr>
          <w:rFonts w:hint="eastAsia" w:ascii="宋体" w:hAnsi="宋体"/>
          <w:b/>
          <w:sz w:val="52"/>
          <w:szCs w:val="52"/>
          <w:lang w:val="en-US" w:eastAsia="zh-CN"/>
        </w:rPr>
        <w:t>电力市场化交易售电项目</w:t>
      </w:r>
    </w:p>
    <w:p w14:paraId="7198D754">
      <w:pPr>
        <w:tabs>
          <w:tab w:val="left" w:pos="7125"/>
        </w:tabs>
        <w:jc w:val="center"/>
        <w:rPr>
          <w:rFonts w:ascii="宋体" w:hAnsi="宋体"/>
          <w:b/>
          <w:sz w:val="36"/>
          <w:szCs w:val="44"/>
        </w:rPr>
      </w:pPr>
    </w:p>
    <w:p w14:paraId="63F03A7A">
      <w:pPr>
        <w:jc w:val="center"/>
        <w:rPr>
          <w:rFonts w:ascii="宋体" w:hAnsi="宋体"/>
          <w:b/>
          <w:sz w:val="120"/>
          <w:szCs w:val="120"/>
        </w:rPr>
      </w:pPr>
      <w:r>
        <w:rPr>
          <w:rFonts w:hint="eastAsia" w:ascii="宋体" w:hAnsi="宋体"/>
          <w:b/>
          <w:sz w:val="120"/>
          <w:szCs w:val="120"/>
        </w:rPr>
        <w:t>邀</w:t>
      </w:r>
    </w:p>
    <w:p w14:paraId="679A4F76">
      <w:pPr>
        <w:jc w:val="center"/>
        <w:rPr>
          <w:rFonts w:ascii="宋体" w:hAnsi="宋体"/>
          <w:b/>
          <w:sz w:val="120"/>
          <w:szCs w:val="120"/>
        </w:rPr>
      </w:pPr>
      <w:r>
        <w:rPr>
          <w:rFonts w:hint="eastAsia" w:ascii="宋体" w:hAnsi="宋体"/>
          <w:b/>
          <w:sz w:val="120"/>
          <w:szCs w:val="120"/>
        </w:rPr>
        <w:t>标</w:t>
      </w:r>
    </w:p>
    <w:p w14:paraId="0FE5221E">
      <w:pPr>
        <w:jc w:val="center"/>
        <w:rPr>
          <w:rFonts w:ascii="宋体" w:hAnsi="宋体"/>
          <w:b/>
          <w:sz w:val="120"/>
          <w:szCs w:val="120"/>
        </w:rPr>
      </w:pPr>
      <w:r>
        <w:rPr>
          <w:rFonts w:hint="eastAsia" w:ascii="宋体" w:hAnsi="宋体"/>
          <w:b/>
          <w:sz w:val="120"/>
          <w:szCs w:val="120"/>
        </w:rPr>
        <w:t>文</w:t>
      </w:r>
    </w:p>
    <w:p w14:paraId="15FA5E85">
      <w:pPr>
        <w:jc w:val="center"/>
        <w:rPr>
          <w:rFonts w:ascii="宋体" w:hAnsi="宋体"/>
          <w:b/>
          <w:sz w:val="120"/>
          <w:szCs w:val="120"/>
        </w:rPr>
      </w:pPr>
      <w:r>
        <w:rPr>
          <w:rFonts w:hint="eastAsia" w:ascii="宋体" w:hAnsi="宋体"/>
          <w:b/>
          <w:sz w:val="120"/>
          <w:szCs w:val="120"/>
        </w:rPr>
        <w:t>件</w:t>
      </w:r>
    </w:p>
    <w:p w14:paraId="12C7FBC7">
      <w:pPr>
        <w:jc w:val="center"/>
        <w:rPr>
          <w:rFonts w:ascii="宋体" w:hAnsi="宋体"/>
          <w:sz w:val="28"/>
          <w:szCs w:val="28"/>
        </w:rPr>
      </w:pPr>
    </w:p>
    <w:p w14:paraId="106A7042">
      <w:pPr>
        <w:jc w:val="center"/>
        <w:rPr>
          <w:rFonts w:ascii="宋体" w:hAnsi="宋体"/>
          <w:sz w:val="28"/>
          <w:szCs w:val="28"/>
        </w:rPr>
      </w:pPr>
    </w:p>
    <w:p w14:paraId="66454258">
      <w:pPr>
        <w:ind w:leftChars="500"/>
        <w:jc w:val="center"/>
        <w:rPr>
          <w:rFonts w:ascii="宋体" w:hAnsi="宋体"/>
          <w:sz w:val="36"/>
          <w:szCs w:val="36"/>
        </w:rPr>
      </w:pPr>
    </w:p>
    <w:p w14:paraId="3D68046C">
      <w:pPr>
        <w:ind w:leftChars="500"/>
        <w:jc w:val="center"/>
        <w:rPr>
          <w:rFonts w:hint="eastAsia" w:ascii="仿宋" w:hAnsi="仿宋" w:eastAsia="仿宋" w:cs="仿宋"/>
          <w:kern w:val="0"/>
          <w:sz w:val="28"/>
          <w:szCs w:val="28"/>
          <w:u w:val="single"/>
          <w:lang w:val="en-US" w:eastAsia="zh-CN"/>
        </w:rPr>
      </w:pPr>
      <w:r>
        <w:rPr>
          <w:rFonts w:hint="eastAsia" w:ascii="宋体" w:hAnsi="宋体"/>
          <w:sz w:val="36"/>
          <w:szCs w:val="36"/>
        </w:rPr>
        <w:t>邀标单位：</w:t>
      </w:r>
      <w:r>
        <w:rPr>
          <w:rFonts w:hint="eastAsia" w:ascii="宋体" w:hAnsi="宋体" w:eastAsia="宋体" w:cs="宋体"/>
          <w:kern w:val="0"/>
          <w:sz w:val="36"/>
          <w:szCs w:val="36"/>
          <w:u w:val="single"/>
          <w:lang w:val="en-US" w:eastAsia="zh-CN"/>
        </w:rPr>
        <w:t xml:space="preserve"> 海南寅鼎实业有限公司</w:t>
      </w:r>
    </w:p>
    <w:p w14:paraId="2E0E423E">
      <w:pPr>
        <w:ind w:leftChars="500"/>
        <w:jc w:val="center"/>
        <w:rPr>
          <w:rFonts w:ascii="宋体" w:hAnsi="宋体"/>
          <w:sz w:val="28"/>
          <w:szCs w:val="28"/>
        </w:rPr>
        <w:sectPr>
          <w:headerReference r:id="rId3" w:type="default"/>
          <w:footerReference r:id="rId4" w:type="default"/>
          <w:footerReference r:id="rId5" w:type="even"/>
          <w:type w:val="continuous"/>
          <w:pgSz w:w="11906" w:h="16838"/>
          <w:pgMar w:top="1440" w:right="991" w:bottom="1440" w:left="1134" w:header="851" w:footer="992" w:gutter="0"/>
          <w:pgNumType w:start="1"/>
          <w:cols w:space="720" w:num="1"/>
          <w:docGrid w:type="lines" w:linePitch="312" w:charSpace="0"/>
        </w:sectPr>
      </w:pPr>
      <w:r>
        <w:rPr>
          <w:rFonts w:hint="eastAsia" w:ascii="宋体" w:hAnsi="宋体"/>
          <w:sz w:val="36"/>
          <w:szCs w:val="36"/>
        </w:rPr>
        <w:t>邀标时间：二〇</w:t>
      </w:r>
      <w:r>
        <w:rPr>
          <w:rFonts w:hint="eastAsia" w:ascii="宋体" w:hAnsi="宋体"/>
          <w:sz w:val="36"/>
          <w:szCs w:val="36"/>
          <w:lang w:val="en-US" w:eastAsia="zh-CN"/>
        </w:rPr>
        <w:t>二五</w:t>
      </w:r>
      <w:r>
        <w:rPr>
          <w:rFonts w:hint="eastAsia" w:ascii="宋体" w:hAnsi="宋体"/>
          <w:sz w:val="36"/>
          <w:szCs w:val="36"/>
        </w:rPr>
        <w:t>年</w:t>
      </w:r>
      <w:r>
        <w:rPr>
          <w:rFonts w:hint="eastAsia" w:ascii="宋体" w:hAnsi="宋体"/>
          <w:sz w:val="36"/>
          <w:szCs w:val="36"/>
          <w:lang w:val="en-US" w:eastAsia="zh-CN"/>
        </w:rPr>
        <w:t>三</w:t>
      </w:r>
      <w:r>
        <w:rPr>
          <w:rFonts w:hint="eastAsia" w:ascii="宋体" w:hAnsi="宋体"/>
          <w:sz w:val="36"/>
          <w:szCs w:val="36"/>
        </w:rPr>
        <w:t>月</w:t>
      </w:r>
      <w:r>
        <w:rPr>
          <w:rFonts w:hint="eastAsia" w:ascii="宋体" w:hAnsi="宋体"/>
          <w:sz w:val="36"/>
          <w:szCs w:val="36"/>
          <w:lang w:val="en-US" w:eastAsia="zh-CN"/>
        </w:rPr>
        <w:t>六</w:t>
      </w:r>
      <w:r>
        <w:rPr>
          <w:rFonts w:hint="eastAsia" w:ascii="宋体" w:hAnsi="宋体"/>
          <w:sz w:val="36"/>
          <w:szCs w:val="36"/>
        </w:rPr>
        <w:t>日</w:t>
      </w:r>
    </w:p>
    <w:p w14:paraId="4A656D4C">
      <w:pPr>
        <w:pStyle w:val="50"/>
        <w:tabs>
          <w:tab w:val="left" w:pos="3240"/>
        </w:tabs>
        <w:autoSpaceDE w:val="0"/>
        <w:autoSpaceDN w:val="0"/>
        <w:adjustRightInd w:val="0"/>
        <w:spacing w:line="400" w:lineRule="exact"/>
        <w:ind w:left="1079" w:leftChars="514" w:firstLine="2554" w:firstLineChars="795"/>
        <w:rPr>
          <w:rFonts w:ascii="宋体" w:hAnsi="宋体"/>
          <w:b/>
          <w:bCs/>
          <w:kern w:val="0"/>
          <w:sz w:val="32"/>
          <w:szCs w:val="32"/>
          <w:shd w:val="pct10" w:color="auto" w:fill="FFFFFF"/>
        </w:rPr>
      </w:pPr>
      <w:r>
        <w:rPr>
          <w:rFonts w:hint="eastAsia" w:ascii="宋体" w:hAnsi="宋体"/>
          <w:b/>
          <w:bCs/>
          <w:kern w:val="0"/>
          <w:sz w:val="32"/>
          <w:szCs w:val="32"/>
          <w:shd w:val="pct10" w:color="auto" w:fill="FFFFFF"/>
        </w:rPr>
        <w:t>第一章  邀标说明</w:t>
      </w:r>
    </w:p>
    <w:tbl>
      <w:tblPr>
        <w:tblStyle w:val="29"/>
        <w:tblW w:w="95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1978"/>
        <w:gridCol w:w="6895"/>
      </w:tblGrid>
      <w:tr w14:paraId="5AA16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4535F1A">
            <w:pPr>
              <w:spacing w:line="400" w:lineRule="exact"/>
              <w:jc w:val="center"/>
              <w:rPr>
                <w:rFonts w:ascii="宋体" w:hAnsi="宋体"/>
                <w:b/>
                <w:bCs/>
                <w:szCs w:val="21"/>
              </w:rPr>
            </w:pPr>
            <w:r>
              <w:rPr>
                <w:rFonts w:hint="eastAsia" w:ascii="宋体" w:hAnsi="宋体"/>
                <w:b/>
                <w:bCs/>
                <w:szCs w:val="21"/>
              </w:rPr>
              <w:t>序号</w:t>
            </w:r>
          </w:p>
        </w:tc>
        <w:tc>
          <w:tcPr>
            <w:tcW w:w="1978" w:type="dxa"/>
            <w:tcBorders>
              <w:top w:val="single" w:color="auto" w:sz="4" w:space="0"/>
              <w:left w:val="single" w:color="auto" w:sz="4" w:space="0"/>
              <w:bottom w:val="single" w:color="auto" w:sz="4" w:space="0"/>
              <w:right w:val="single" w:color="auto" w:sz="4" w:space="0"/>
            </w:tcBorders>
            <w:vAlign w:val="center"/>
          </w:tcPr>
          <w:p w14:paraId="0A71E86A">
            <w:pPr>
              <w:spacing w:line="400" w:lineRule="exact"/>
              <w:jc w:val="center"/>
              <w:rPr>
                <w:rFonts w:ascii="宋体" w:hAnsi="宋体"/>
                <w:b/>
                <w:bCs/>
                <w:szCs w:val="21"/>
              </w:rPr>
            </w:pPr>
            <w:r>
              <w:rPr>
                <w:rFonts w:hint="eastAsia" w:ascii="宋体" w:hAnsi="宋体"/>
                <w:b/>
                <w:bCs/>
                <w:szCs w:val="21"/>
              </w:rPr>
              <w:t>内 容</w:t>
            </w:r>
          </w:p>
        </w:tc>
        <w:tc>
          <w:tcPr>
            <w:tcW w:w="6895" w:type="dxa"/>
            <w:tcBorders>
              <w:top w:val="single" w:color="auto" w:sz="4" w:space="0"/>
              <w:left w:val="single" w:color="auto" w:sz="4" w:space="0"/>
              <w:bottom w:val="single" w:color="auto" w:sz="4" w:space="0"/>
              <w:right w:val="single" w:color="auto" w:sz="4" w:space="0"/>
            </w:tcBorders>
            <w:vAlign w:val="center"/>
          </w:tcPr>
          <w:p w14:paraId="10DF1562">
            <w:pPr>
              <w:spacing w:line="400" w:lineRule="exact"/>
              <w:jc w:val="center"/>
              <w:rPr>
                <w:rFonts w:ascii="宋体" w:hAnsi="宋体"/>
                <w:b/>
                <w:bCs/>
                <w:szCs w:val="21"/>
              </w:rPr>
            </w:pPr>
            <w:r>
              <w:rPr>
                <w:rFonts w:hint="eastAsia" w:ascii="宋体" w:hAnsi="宋体"/>
                <w:b/>
                <w:bCs/>
                <w:szCs w:val="21"/>
              </w:rPr>
              <w:t xml:space="preserve">说 </w:t>
            </w:r>
            <w:r>
              <w:rPr>
                <w:rFonts w:ascii="宋体" w:hAnsi="宋体"/>
                <w:b/>
                <w:bCs/>
                <w:szCs w:val="21"/>
              </w:rPr>
              <w:t xml:space="preserve"> </w:t>
            </w:r>
            <w:r>
              <w:rPr>
                <w:rFonts w:hint="eastAsia" w:ascii="宋体" w:hAnsi="宋体"/>
                <w:b/>
                <w:bCs/>
                <w:szCs w:val="21"/>
              </w:rPr>
              <w:t>明</w:t>
            </w:r>
          </w:p>
        </w:tc>
      </w:tr>
      <w:tr w14:paraId="433FF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85AE6FC">
            <w:pPr>
              <w:spacing w:line="400" w:lineRule="exact"/>
              <w:jc w:val="center"/>
              <w:rPr>
                <w:rFonts w:ascii="宋体" w:hAnsi="宋体"/>
                <w:szCs w:val="21"/>
              </w:rPr>
            </w:pPr>
            <w:r>
              <w:rPr>
                <w:rFonts w:hint="eastAsia" w:ascii="宋体" w:hAnsi="宋体"/>
                <w:szCs w:val="21"/>
              </w:rPr>
              <w:t>1</w:t>
            </w:r>
          </w:p>
        </w:tc>
        <w:tc>
          <w:tcPr>
            <w:tcW w:w="1978" w:type="dxa"/>
            <w:tcBorders>
              <w:top w:val="single" w:color="auto" w:sz="4" w:space="0"/>
              <w:left w:val="single" w:color="auto" w:sz="4" w:space="0"/>
              <w:bottom w:val="single" w:color="auto" w:sz="4" w:space="0"/>
              <w:right w:val="single" w:color="auto" w:sz="4" w:space="0"/>
            </w:tcBorders>
            <w:vAlign w:val="center"/>
          </w:tcPr>
          <w:p w14:paraId="0B6A347C">
            <w:pPr>
              <w:spacing w:line="400" w:lineRule="exact"/>
              <w:jc w:val="center"/>
              <w:rPr>
                <w:rFonts w:ascii="宋体" w:hAnsi="宋体" w:cs="宋体"/>
                <w:spacing w:val="14"/>
                <w:kern w:val="0"/>
                <w:szCs w:val="21"/>
              </w:rPr>
            </w:pPr>
            <w:r>
              <w:rPr>
                <w:rFonts w:hint="eastAsia" w:ascii="宋体" w:hAnsi="宋体" w:cs="宋体"/>
                <w:spacing w:val="14"/>
                <w:kern w:val="0"/>
                <w:szCs w:val="21"/>
              </w:rPr>
              <w:t>工程名称</w:t>
            </w:r>
          </w:p>
        </w:tc>
        <w:tc>
          <w:tcPr>
            <w:tcW w:w="6895" w:type="dxa"/>
            <w:tcBorders>
              <w:top w:val="single" w:color="auto" w:sz="4" w:space="0"/>
              <w:left w:val="single" w:color="auto" w:sz="4" w:space="0"/>
              <w:bottom w:val="single" w:color="auto" w:sz="4" w:space="0"/>
              <w:right w:val="single" w:color="auto" w:sz="4" w:space="0"/>
            </w:tcBorders>
            <w:vAlign w:val="center"/>
          </w:tcPr>
          <w:p w14:paraId="077C2640">
            <w:pPr>
              <w:tabs>
                <w:tab w:val="left" w:pos="7125"/>
              </w:tabs>
              <w:jc w:val="center"/>
              <w:rPr>
                <w:rFonts w:hint="default" w:ascii="宋体" w:hAnsi="宋体" w:cs="宋体"/>
                <w:spacing w:val="14"/>
                <w:kern w:val="0"/>
                <w:szCs w:val="21"/>
                <w:lang w:val="en-US"/>
              </w:rPr>
            </w:pPr>
            <w:r>
              <w:rPr>
                <w:rFonts w:hint="eastAsia" w:ascii="宋体" w:hAnsi="宋体"/>
                <w:b/>
                <w:sz w:val="28"/>
                <w:szCs w:val="28"/>
                <w:lang w:val="en-US" w:eastAsia="zh-CN"/>
              </w:rPr>
              <w:t>电力市场化交易售电项目</w:t>
            </w:r>
          </w:p>
        </w:tc>
      </w:tr>
      <w:tr w14:paraId="549E0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616F4B1">
            <w:pPr>
              <w:spacing w:line="400" w:lineRule="exact"/>
              <w:jc w:val="center"/>
              <w:rPr>
                <w:rFonts w:ascii="宋体" w:hAnsi="宋体"/>
                <w:szCs w:val="21"/>
              </w:rPr>
            </w:pPr>
            <w:r>
              <w:rPr>
                <w:rFonts w:hint="eastAsia" w:ascii="宋体" w:hAnsi="宋体"/>
                <w:szCs w:val="21"/>
              </w:rPr>
              <w:t>2</w:t>
            </w:r>
          </w:p>
        </w:tc>
        <w:tc>
          <w:tcPr>
            <w:tcW w:w="1978" w:type="dxa"/>
            <w:tcBorders>
              <w:top w:val="single" w:color="auto" w:sz="4" w:space="0"/>
              <w:left w:val="single" w:color="auto" w:sz="4" w:space="0"/>
              <w:bottom w:val="single" w:color="auto" w:sz="4" w:space="0"/>
              <w:right w:val="single" w:color="auto" w:sz="4" w:space="0"/>
            </w:tcBorders>
            <w:vAlign w:val="center"/>
          </w:tcPr>
          <w:p w14:paraId="4193DBDD">
            <w:pPr>
              <w:spacing w:line="400" w:lineRule="exact"/>
              <w:jc w:val="center"/>
              <w:rPr>
                <w:rFonts w:ascii="宋体" w:hAnsi="宋体" w:cs="宋体"/>
                <w:spacing w:val="14"/>
                <w:kern w:val="0"/>
                <w:szCs w:val="21"/>
              </w:rPr>
            </w:pPr>
            <w:r>
              <w:rPr>
                <w:rFonts w:hint="eastAsia" w:ascii="宋体" w:hAnsi="宋体" w:cs="宋体"/>
                <w:spacing w:val="14"/>
                <w:kern w:val="0"/>
                <w:szCs w:val="21"/>
              </w:rPr>
              <w:t>建设地点</w:t>
            </w:r>
          </w:p>
        </w:tc>
        <w:tc>
          <w:tcPr>
            <w:tcW w:w="6895" w:type="dxa"/>
            <w:tcBorders>
              <w:top w:val="single" w:color="auto" w:sz="4" w:space="0"/>
              <w:left w:val="single" w:color="auto" w:sz="4" w:space="0"/>
              <w:bottom w:val="single" w:color="auto" w:sz="4" w:space="0"/>
              <w:right w:val="single" w:color="auto" w:sz="4" w:space="0"/>
            </w:tcBorders>
            <w:vAlign w:val="center"/>
          </w:tcPr>
          <w:p w14:paraId="76A6B557">
            <w:pPr>
              <w:spacing w:line="400" w:lineRule="exact"/>
              <w:rPr>
                <w:rFonts w:hint="default" w:ascii="宋体" w:hAnsi="宋体" w:cs="宋体"/>
                <w:spacing w:val="14"/>
                <w:kern w:val="0"/>
                <w:szCs w:val="21"/>
                <w:lang w:val="en-US"/>
              </w:rPr>
            </w:pPr>
            <w:r>
              <w:rPr>
                <w:rFonts w:hint="eastAsia" w:ascii="宋体" w:hAnsi="宋体"/>
                <w:b/>
                <w:sz w:val="28"/>
                <w:szCs w:val="28"/>
                <w:lang w:val="en-US" w:eastAsia="zh-CN"/>
              </w:rPr>
              <w:t>金盛达建材家居博览中心</w:t>
            </w:r>
          </w:p>
        </w:tc>
      </w:tr>
      <w:tr w14:paraId="19559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A986563">
            <w:pPr>
              <w:spacing w:line="400" w:lineRule="exact"/>
              <w:jc w:val="center"/>
              <w:rPr>
                <w:rFonts w:ascii="宋体" w:hAnsi="宋体"/>
                <w:szCs w:val="21"/>
              </w:rPr>
            </w:pPr>
            <w:r>
              <w:rPr>
                <w:rFonts w:hint="eastAsia" w:ascii="宋体" w:hAnsi="宋体"/>
                <w:szCs w:val="21"/>
              </w:rPr>
              <w:t>3</w:t>
            </w:r>
          </w:p>
        </w:tc>
        <w:tc>
          <w:tcPr>
            <w:tcW w:w="1978" w:type="dxa"/>
            <w:tcBorders>
              <w:top w:val="single" w:color="auto" w:sz="4" w:space="0"/>
              <w:left w:val="single" w:color="auto" w:sz="4" w:space="0"/>
              <w:bottom w:val="single" w:color="auto" w:sz="4" w:space="0"/>
              <w:right w:val="single" w:color="auto" w:sz="4" w:space="0"/>
            </w:tcBorders>
            <w:vAlign w:val="center"/>
          </w:tcPr>
          <w:p w14:paraId="1D8D57FC">
            <w:pPr>
              <w:spacing w:line="400" w:lineRule="exact"/>
              <w:jc w:val="center"/>
              <w:rPr>
                <w:rFonts w:ascii="宋体" w:hAnsi="宋体" w:cs="宋体"/>
                <w:spacing w:val="14"/>
                <w:kern w:val="0"/>
                <w:szCs w:val="21"/>
              </w:rPr>
            </w:pPr>
            <w:r>
              <w:rPr>
                <w:rFonts w:hint="eastAsia" w:ascii="宋体" w:hAnsi="宋体" w:cs="宋体"/>
                <w:spacing w:val="14"/>
                <w:kern w:val="0"/>
                <w:szCs w:val="21"/>
              </w:rPr>
              <w:t>邀标范围</w:t>
            </w:r>
          </w:p>
        </w:tc>
        <w:tc>
          <w:tcPr>
            <w:tcW w:w="6895" w:type="dxa"/>
            <w:tcBorders>
              <w:top w:val="single" w:color="auto" w:sz="4" w:space="0"/>
              <w:left w:val="single" w:color="auto" w:sz="4" w:space="0"/>
              <w:bottom w:val="single" w:color="auto" w:sz="4" w:space="0"/>
              <w:right w:val="single" w:color="auto" w:sz="4" w:space="0"/>
            </w:tcBorders>
            <w:vAlign w:val="center"/>
          </w:tcPr>
          <w:p w14:paraId="0DDF53CF">
            <w:pPr>
              <w:rPr>
                <w:rFonts w:ascii="宋体" w:hAnsi="宋体" w:cs="宋体"/>
                <w:spacing w:val="14"/>
                <w:kern w:val="0"/>
                <w:szCs w:val="21"/>
              </w:rPr>
            </w:pPr>
            <w:r>
              <w:rPr>
                <w:rFonts w:hint="eastAsia" w:ascii="宋体" w:hAnsi="宋体" w:cs="宋体"/>
                <w:b/>
                <w:spacing w:val="14"/>
                <w:kern w:val="0"/>
                <w:szCs w:val="21"/>
              </w:rPr>
              <w:t>包含不限于以下工程</w:t>
            </w:r>
            <w:r>
              <w:rPr>
                <w:rFonts w:hint="eastAsia" w:ascii="宋体" w:hAnsi="宋体" w:cs="宋体"/>
                <w:spacing w:val="14"/>
                <w:kern w:val="0"/>
                <w:szCs w:val="21"/>
              </w:rPr>
              <w:t>：</w:t>
            </w:r>
          </w:p>
          <w:p w14:paraId="15FE0934">
            <w:pPr>
              <w:numPr>
                <w:ilvl w:val="0"/>
                <w:numId w:val="2"/>
              </w:numPr>
              <w:rPr>
                <w:rFonts w:ascii="宋体" w:hAnsi="宋体" w:cs="宋体"/>
                <w:spacing w:val="14"/>
                <w:kern w:val="0"/>
                <w:szCs w:val="21"/>
                <w:highlight w:val="none"/>
              </w:rPr>
            </w:pPr>
            <w:r>
              <w:rPr>
                <w:rFonts w:hint="eastAsia" w:ascii="宋体" w:hAnsi="宋体" w:cs="宋体"/>
                <w:spacing w:val="14"/>
                <w:kern w:val="0"/>
                <w:szCs w:val="21"/>
                <w:highlight w:val="none"/>
                <w:lang w:val="en-US" w:eastAsia="zh-CN"/>
              </w:rPr>
              <w:t>售电方案深化</w:t>
            </w:r>
            <w:r>
              <w:rPr>
                <w:rFonts w:hint="eastAsia" w:ascii="宋体" w:hAnsi="宋体" w:cs="宋体"/>
                <w:spacing w:val="14"/>
                <w:kern w:val="0"/>
                <w:szCs w:val="21"/>
                <w:highlight w:val="none"/>
              </w:rPr>
              <w:t>；</w:t>
            </w:r>
          </w:p>
          <w:p w14:paraId="61C0AEC4">
            <w:pPr>
              <w:rPr>
                <w:rFonts w:hint="default" w:ascii="宋体" w:hAnsi="宋体" w:eastAsia="宋体" w:cs="宋体"/>
                <w:spacing w:val="14"/>
                <w:kern w:val="0"/>
                <w:szCs w:val="21"/>
                <w:highlight w:val="none"/>
                <w:lang w:val="en-US" w:eastAsia="zh-CN"/>
              </w:rPr>
            </w:pPr>
            <w:r>
              <w:rPr>
                <w:rFonts w:hint="eastAsia" w:ascii="宋体" w:hAnsi="宋体" w:cs="宋体"/>
                <w:spacing w:val="14"/>
                <w:kern w:val="0"/>
                <w:szCs w:val="21"/>
                <w:highlight w:val="none"/>
              </w:rPr>
              <w:t>2）</w:t>
            </w:r>
            <w:r>
              <w:rPr>
                <w:rFonts w:hint="eastAsia" w:ascii="宋体" w:hAnsi="宋体" w:cs="宋体"/>
                <w:spacing w:val="14"/>
                <w:kern w:val="0"/>
                <w:szCs w:val="21"/>
                <w:highlight w:val="none"/>
                <w:lang w:val="en-US" w:eastAsia="zh-CN"/>
              </w:rPr>
              <w:t>按报价清单内容；</w:t>
            </w:r>
          </w:p>
          <w:p w14:paraId="7FDCB55F">
            <w:pPr>
              <w:rPr>
                <w:rFonts w:ascii="宋体" w:hAnsi="宋体" w:cs="宋体"/>
                <w:spacing w:val="14"/>
                <w:kern w:val="0"/>
                <w:szCs w:val="21"/>
              </w:rPr>
            </w:pPr>
            <w:r>
              <w:rPr>
                <w:rFonts w:hint="eastAsia" w:ascii="宋体" w:hAnsi="宋体" w:cs="宋体"/>
                <w:spacing w:val="14"/>
                <w:kern w:val="0"/>
                <w:szCs w:val="21"/>
                <w:highlight w:val="none"/>
                <w:lang w:val="en-US" w:eastAsia="zh-CN"/>
              </w:rPr>
              <w:t>3</w:t>
            </w:r>
            <w:r>
              <w:rPr>
                <w:rFonts w:hint="eastAsia" w:ascii="宋体" w:hAnsi="宋体" w:cs="宋体"/>
                <w:spacing w:val="14"/>
                <w:kern w:val="0"/>
                <w:szCs w:val="21"/>
                <w:highlight w:val="none"/>
              </w:rPr>
              <w:t>）完成本</w:t>
            </w:r>
            <w:r>
              <w:rPr>
                <w:rFonts w:hint="eastAsia" w:ascii="宋体" w:hAnsi="宋体" w:cs="宋体"/>
                <w:spacing w:val="14"/>
                <w:kern w:val="0"/>
                <w:szCs w:val="21"/>
                <w:highlight w:val="none"/>
                <w:lang w:val="en-US" w:eastAsia="zh-CN"/>
              </w:rPr>
              <w:t>项目</w:t>
            </w:r>
            <w:r>
              <w:rPr>
                <w:rFonts w:hint="eastAsia" w:ascii="宋体" w:hAnsi="宋体" w:cs="宋体"/>
                <w:spacing w:val="14"/>
                <w:kern w:val="0"/>
                <w:szCs w:val="21"/>
                <w:highlight w:val="none"/>
              </w:rPr>
              <w:t>所涉的所有安全措施、文明施工、环境保护以及周边关系协调</w:t>
            </w:r>
            <w:r>
              <w:rPr>
                <w:rFonts w:hint="eastAsia" w:ascii="宋体" w:hAnsi="宋体" w:cs="宋体"/>
                <w:spacing w:val="14"/>
                <w:kern w:val="0"/>
                <w:szCs w:val="21"/>
                <w:highlight w:val="none"/>
                <w:lang w:eastAsia="zh-CN"/>
              </w:rPr>
              <w:t>，</w:t>
            </w:r>
            <w:r>
              <w:rPr>
                <w:rFonts w:hint="eastAsia" w:ascii="宋体" w:hAnsi="宋体" w:cs="宋体"/>
                <w:spacing w:val="14"/>
                <w:kern w:val="0"/>
                <w:szCs w:val="21"/>
                <w:highlight w:val="none"/>
                <w:lang w:val="en-US" w:eastAsia="zh-CN"/>
              </w:rPr>
              <w:t>包验收通过及通电</w:t>
            </w:r>
            <w:r>
              <w:rPr>
                <w:rFonts w:hint="eastAsia" w:ascii="宋体" w:hAnsi="宋体" w:cs="宋体"/>
                <w:spacing w:val="14"/>
                <w:kern w:val="0"/>
                <w:szCs w:val="21"/>
                <w:highlight w:val="none"/>
              </w:rPr>
              <w:t>等。</w:t>
            </w:r>
          </w:p>
        </w:tc>
      </w:tr>
      <w:tr w14:paraId="16894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8C5173D">
            <w:pPr>
              <w:spacing w:line="400" w:lineRule="exact"/>
              <w:jc w:val="center"/>
              <w:rPr>
                <w:rFonts w:ascii="宋体" w:hAnsi="宋体"/>
                <w:szCs w:val="21"/>
              </w:rPr>
            </w:pPr>
            <w:r>
              <w:rPr>
                <w:rFonts w:hint="eastAsia" w:ascii="宋体" w:hAnsi="宋体"/>
                <w:szCs w:val="21"/>
              </w:rPr>
              <w:t>4</w:t>
            </w:r>
          </w:p>
        </w:tc>
        <w:tc>
          <w:tcPr>
            <w:tcW w:w="1978" w:type="dxa"/>
            <w:tcBorders>
              <w:top w:val="single" w:color="auto" w:sz="4" w:space="0"/>
              <w:left w:val="single" w:color="auto" w:sz="4" w:space="0"/>
              <w:bottom w:val="single" w:color="auto" w:sz="4" w:space="0"/>
              <w:right w:val="single" w:color="auto" w:sz="4" w:space="0"/>
            </w:tcBorders>
            <w:vAlign w:val="center"/>
          </w:tcPr>
          <w:p w14:paraId="1A65523F">
            <w:pPr>
              <w:spacing w:line="400" w:lineRule="exact"/>
              <w:jc w:val="center"/>
              <w:rPr>
                <w:rFonts w:ascii="宋体" w:hAnsi="宋体" w:cs="宋体"/>
                <w:spacing w:val="14"/>
                <w:kern w:val="0"/>
                <w:szCs w:val="21"/>
              </w:rPr>
            </w:pPr>
            <w:r>
              <w:rPr>
                <w:rFonts w:hint="eastAsia" w:ascii="宋体" w:hAnsi="宋体" w:cs="宋体"/>
                <w:spacing w:val="14"/>
                <w:kern w:val="0"/>
                <w:szCs w:val="21"/>
              </w:rPr>
              <w:t>承包方式</w:t>
            </w:r>
          </w:p>
        </w:tc>
        <w:tc>
          <w:tcPr>
            <w:tcW w:w="6895" w:type="dxa"/>
            <w:tcBorders>
              <w:top w:val="single" w:color="auto" w:sz="4" w:space="0"/>
              <w:left w:val="single" w:color="auto" w:sz="4" w:space="0"/>
              <w:bottom w:val="single" w:color="auto" w:sz="4" w:space="0"/>
              <w:right w:val="single" w:color="auto" w:sz="4" w:space="0"/>
            </w:tcBorders>
            <w:vAlign w:val="center"/>
          </w:tcPr>
          <w:p w14:paraId="2A87FEDC">
            <w:pPr>
              <w:spacing w:line="400" w:lineRule="exact"/>
              <w:jc w:val="left"/>
              <w:rPr>
                <w:rFonts w:ascii="宋体" w:hAnsi="宋体" w:cs="宋体"/>
                <w:spacing w:val="14"/>
                <w:kern w:val="0"/>
                <w:szCs w:val="21"/>
              </w:rPr>
            </w:pPr>
            <w:r>
              <w:rPr>
                <w:rFonts w:hint="eastAsia" w:ascii="宋体" w:hAnsi="宋体" w:cs="宋体"/>
                <w:spacing w:val="14"/>
                <w:kern w:val="0"/>
                <w:szCs w:val="21"/>
              </w:rPr>
              <w:t>全包</w:t>
            </w:r>
          </w:p>
        </w:tc>
      </w:tr>
      <w:tr w14:paraId="6D19F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E00B5D8">
            <w:pPr>
              <w:spacing w:line="400" w:lineRule="exact"/>
              <w:jc w:val="center"/>
              <w:rPr>
                <w:rFonts w:ascii="宋体" w:hAnsi="宋体"/>
                <w:szCs w:val="21"/>
              </w:rPr>
            </w:pPr>
            <w:r>
              <w:rPr>
                <w:rFonts w:hint="eastAsia" w:ascii="宋体" w:hAnsi="宋体"/>
                <w:szCs w:val="21"/>
              </w:rPr>
              <w:t>5</w:t>
            </w:r>
          </w:p>
        </w:tc>
        <w:tc>
          <w:tcPr>
            <w:tcW w:w="1978" w:type="dxa"/>
            <w:tcBorders>
              <w:top w:val="single" w:color="auto" w:sz="4" w:space="0"/>
              <w:left w:val="single" w:color="auto" w:sz="4" w:space="0"/>
              <w:bottom w:val="single" w:color="auto" w:sz="4" w:space="0"/>
              <w:right w:val="single" w:color="auto" w:sz="4" w:space="0"/>
            </w:tcBorders>
            <w:vAlign w:val="center"/>
          </w:tcPr>
          <w:p w14:paraId="359ED1FD">
            <w:pPr>
              <w:spacing w:line="400" w:lineRule="exact"/>
              <w:jc w:val="center"/>
              <w:rPr>
                <w:rFonts w:ascii="宋体" w:hAnsi="宋体" w:cs="宋体"/>
                <w:spacing w:val="14"/>
                <w:kern w:val="0"/>
                <w:szCs w:val="21"/>
              </w:rPr>
            </w:pPr>
            <w:r>
              <w:rPr>
                <w:rFonts w:hint="eastAsia" w:ascii="宋体" w:hAnsi="宋体" w:cs="宋体"/>
                <w:spacing w:val="14"/>
                <w:kern w:val="0"/>
                <w:szCs w:val="21"/>
              </w:rPr>
              <w:t>工程报价方式</w:t>
            </w:r>
          </w:p>
        </w:tc>
        <w:tc>
          <w:tcPr>
            <w:tcW w:w="6895" w:type="dxa"/>
            <w:tcBorders>
              <w:top w:val="single" w:color="auto" w:sz="4" w:space="0"/>
              <w:left w:val="single" w:color="auto" w:sz="4" w:space="0"/>
              <w:bottom w:val="single" w:color="auto" w:sz="4" w:space="0"/>
              <w:right w:val="single" w:color="auto" w:sz="4" w:space="0"/>
            </w:tcBorders>
            <w:vAlign w:val="center"/>
          </w:tcPr>
          <w:p w14:paraId="505D48F7">
            <w:pPr>
              <w:spacing w:line="400" w:lineRule="exact"/>
              <w:jc w:val="left"/>
              <w:rPr>
                <w:rFonts w:ascii="宋体" w:hAnsi="宋体" w:cs="宋体"/>
                <w:b/>
                <w:spacing w:val="14"/>
                <w:kern w:val="0"/>
                <w:szCs w:val="21"/>
              </w:rPr>
            </w:pPr>
            <w:r>
              <w:rPr>
                <w:rFonts w:hint="eastAsia" w:ascii="宋体" w:hAnsi="宋体" w:cs="宋体"/>
                <w:b/>
                <w:spacing w:val="14"/>
                <w:kern w:val="0"/>
                <w:szCs w:val="21"/>
                <w:lang w:val="en-US" w:eastAsia="zh-CN"/>
              </w:rPr>
              <w:t>固定</w:t>
            </w:r>
            <w:r>
              <w:rPr>
                <w:rFonts w:hint="eastAsia" w:ascii="宋体" w:hAnsi="宋体" w:cs="宋体"/>
                <w:b/>
                <w:spacing w:val="14"/>
                <w:kern w:val="0"/>
                <w:szCs w:val="21"/>
              </w:rPr>
              <w:t>总价包干，另需报出</w:t>
            </w:r>
            <w:r>
              <w:rPr>
                <w:rFonts w:hint="eastAsia" w:ascii="宋体" w:hAnsi="宋体" w:cs="宋体"/>
                <w:b/>
                <w:spacing w:val="14"/>
                <w:kern w:val="0"/>
                <w:szCs w:val="21"/>
                <w:highlight w:val="none"/>
              </w:rPr>
              <w:t>各分项工程的全费用综合单价</w:t>
            </w:r>
            <w:r>
              <w:rPr>
                <w:rFonts w:hint="eastAsia" w:ascii="宋体" w:hAnsi="宋体" w:cs="宋体"/>
                <w:b/>
                <w:spacing w:val="14"/>
                <w:kern w:val="0"/>
                <w:szCs w:val="21"/>
              </w:rPr>
              <w:t>。</w:t>
            </w:r>
          </w:p>
        </w:tc>
      </w:tr>
      <w:tr w14:paraId="3F131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C0468E7">
            <w:pPr>
              <w:spacing w:line="400" w:lineRule="exact"/>
              <w:jc w:val="center"/>
              <w:rPr>
                <w:rFonts w:ascii="宋体" w:hAnsi="宋体"/>
                <w:szCs w:val="21"/>
              </w:rPr>
            </w:pPr>
            <w:r>
              <w:rPr>
                <w:rFonts w:hint="eastAsia" w:ascii="宋体" w:hAnsi="宋体"/>
                <w:szCs w:val="21"/>
              </w:rPr>
              <w:t>6</w:t>
            </w:r>
          </w:p>
        </w:tc>
        <w:tc>
          <w:tcPr>
            <w:tcW w:w="1978" w:type="dxa"/>
            <w:tcBorders>
              <w:top w:val="single" w:color="auto" w:sz="4" w:space="0"/>
              <w:left w:val="single" w:color="auto" w:sz="4" w:space="0"/>
              <w:bottom w:val="single" w:color="auto" w:sz="4" w:space="0"/>
              <w:right w:val="single" w:color="auto" w:sz="4" w:space="0"/>
            </w:tcBorders>
            <w:vAlign w:val="center"/>
          </w:tcPr>
          <w:p w14:paraId="012E87CE">
            <w:pPr>
              <w:spacing w:line="400" w:lineRule="exact"/>
              <w:jc w:val="center"/>
              <w:rPr>
                <w:rFonts w:ascii="宋体" w:hAnsi="宋体" w:cs="宋体"/>
                <w:spacing w:val="14"/>
                <w:kern w:val="0"/>
                <w:szCs w:val="21"/>
              </w:rPr>
            </w:pPr>
            <w:r>
              <w:rPr>
                <w:rFonts w:hint="eastAsia" w:ascii="宋体" w:hAnsi="宋体" w:cs="宋体"/>
                <w:spacing w:val="14"/>
                <w:kern w:val="0"/>
                <w:szCs w:val="21"/>
              </w:rPr>
              <w:t>资格审查方式</w:t>
            </w:r>
          </w:p>
        </w:tc>
        <w:tc>
          <w:tcPr>
            <w:tcW w:w="6895" w:type="dxa"/>
            <w:tcBorders>
              <w:top w:val="single" w:color="auto" w:sz="4" w:space="0"/>
              <w:left w:val="single" w:color="auto" w:sz="4" w:space="0"/>
              <w:bottom w:val="single" w:color="auto" w:sz="4" w:space="0"/>
              <w:right w:val="single" w:color="auto" w:sz="4" w:space="0"/>
            </w:tcBorders>
            <w:vAlign w:val="center"/>
          </w:tcPr>
          <w:p w14:paraId="381A4238">
            <w:pPr>
              <w:spacing w:line="400" w:lineRule="exact"/>
              <w:rPr>
                <w:rFonts w:ascii="宋体" w:hAnsi="宋体" w:cs="宋体"/>
                <w:spacing w:val="14"/>
                <w:kern w:val="0"/>
                <w:szCs w:val="21"/>
              </w:rPr>
            </w:pPr>
            <w:r>
              <w:rPr>
                <w:rFonts w:hint="eastAsia" w:ascii="宋体" w:hAnsi="宋体" w:cs="宋体"/>
                <w:spacing w:val="14"/>
                <w:kern w:val="0"/>
                <w:szCs w:val="21"/>
              </w:rPr>
              <w:t>1）投标人在提交投标文件时提供相应资质文件初审</w:t>
            </w:r>
            <w:r>
              <w:rPr>
                <w:rFonts w:hint="eastAsia" w:ascii="宋体" w:hAnsi="宋体" w:cs="宋体"/>
                <w:spacing w:val="14"/>
                <w:kern w:val="0"/>
                <w:szCs w:val="21"/>
                <w:lang w:val="en-US" w:eastAsia="zh-CN"/>
              </w:rPr>
              <w:t>(营业执照、法人身份证)</w:t>
            </w:r>
            <w:r>
              <w:rPr>
                <w:rFonts w:hint="eastAsia" w:ascii="宋体" w:hAnsi="宋体" w:cs="宋体"/>
                <w:spacing w:val="14"/>
                <w:kern w:val="0"/>
                <w:szCs w:val="21"/>
              </w:rPr>
              <w:t>。</w:t>
            </w:r>
          </w:p>
          <w:p w14:paraId="1CCB9A9B">
            <w:pPr>
              <w:spacing w:line="400" w:lineRule="exact"/>
              <w:rPr>
                <w:rFonts w:ascii="宋体" w:hAnsi="宋体" w:cs="宋体"/>
                <w:spacing w:val="14"/>
                <w:kern w:val="0"/>
                <w:szCs w:val="21"/>
              </w:rPr>
            </w:pPr>
            <w:r>
              <w:rPr>
                <w:rFonts w:hint="eastAsia" w:ascii="宋体" w:hAnsi="宋体" w:cs="宋体"/>
                <w:spacing w:val="14"/>
                <w:kern w:val="0"/>
                <w:szCs w:val="21"/>
              </w:rPr>
              <w:t>2）根据发包方要求配合现场审查。</w:t>
            </w:r>
          </w:p>
        </w:tc>
      </w:tr>
      <w:tr w14:paraId="66000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0E69165">
            <w:pPr>
              <w:spacing w:line="400" w:lineRule="exact"/>
              <w:jc w:val="center"/>
              <w:rPr>
                <w:rFonts w:ascii="宋体" w:hAnsi="宋体"/>
                <w:szCs w:val="21"/>
              </w:rPr>
            </w:pPr>
            <w:r>
              <w:rPr>
                <w:rFonts w:hint="eastAsia" w:ascii="宋体" w:hAnsi="宋体"/>
                <w:szCs w:val="21"/>
              </w:rPr>
              <w:t>7</w:t>
            </w:r>
          </w:p>
        </w:tc>
        <w:tc>
          <w:tcPr>
            <w:tcW w:w="1978" w:type="dxa"/>
            <w:tcBorders>
              <w:top w:val="single" w:color="auto" w:sz="4" w:space="0"/>
              <w:left w:val="single" w:color="auto" w:sz="4" w:space="0"/>
              <w:bottom w:val="single" w:color="auto" w:sz="4" w:space="0"/>
              <w:right w:val="single" w:color="auto" w:sz="4" w:space="0"/>
            </w:tcBorders>
            <w:vAlign w:val="center"/>
          </w:tcPr>
          <w:p w14:paraId="42ACDA69">
            <w:pPr>
              <w:spacing w:line="400" w:lineRule="exact"/>
              <w:jc w:val="center"/>
              <w:rPr>
                <w:rFonts w:ascii="宋体" w:hAnsi="宋体" w:cs="宋体"/>
                <w:spacing w:val="14"/>
                <w:kern w:val="0"/>
                <w:szCs w:val="21"/>
              </w:rPr>
            </w:pPr>
            <w:r>
              <w:rPr>
                <w:rFonts w:hint="eastAsia" w:ascii="宋体" w:hAnsi="宋体" w:cs="宋体"/>
                <w:spacing w:val="14"/>
                <w:kern w:val="0"/>
                <w:szCs w:val="21"/>
              </w:rPr>
              <w:t>投标人资格要求</w:t>
            </w:r>
          </w:p>
        </w:tc>
        <w:tc>
          <w:tcPr>
            <w:tcW w:w="6895" w:type="dxa"/>
            <w:tcBorders>
              <w:top w:val="single" w:color="auto" w:sz="4" w:space="0"/>
              <w:left w:val="single" w:color="auto" w:sz="4" w:space="0"/>
              <w:bottom w:val="single" w:color="auto" w:sz="4" w:space="0"/>
              <w:right w:val="single" w:color="auto" w:sz="4" w:space="0"/>
            </w:tcBorders>
            <w:vAlign w:val="center"/>
          </w:tcPr>
          <w:p w14:paraId="2FA49BFD">
            <w:pPr>
              <w:spacing w:line="400" w:lineRule="exact"/>
              <w:rPr>
                <w:rFonts w:ascii="宋体" w:hAnsi="宋体" w:cs="宋体"/>
                <w:spacing w:val="14"/>
                <w:kern w:val="0"/>
                <w:szCs w:val="21"/>
              </w:rPr>
            </w:pPr>
            <w:r>
              <w:rPr>
                <w:rFonts w:hint="eastAsia" w:ascii="宋体" w:hAnsi="宋体" w:cs="宋体"/>
                <w:spacing w:val="14"/>
                <w:kern w:val="0"/>
                <w:szCs w:val="21"/>
              </w:rPr>
              <w:t>1）符合国家要求有相关行业标准。</w:t>
            </w:r>
          </w:p>
          <w:p w14:paraId="5B9CBF49">
            <w:pPr>
              <w:spacing w:line="400" w:lineRule="exact"/>
              <w:jc w:val="left"/>
              <w:rPr>
                <w:rFonts w:ascii="宋体" w:hAnsi="宋体"/>
                <w:szCs w:val="21"/>
              </w:rPr>
            </w:pPr>
            <w:r>
              <w:rPr>
                <w:rFonts w:hint="eastAsia" w:ascii="宋体" w:hAnsi="宋体"/>
                <w:szCs w:val="21"/>
                <w:lang w:val="en-US" w:eastAsia="zh-CN"/>
              </w:rPr>
              <w:t>2</w:t>
            </w:r>
            <w:r>
              <w:rPr>
                <w:rFonts w:hint="eastAsia" w:ascii="宋体" w:hAnsi="宋体"/>
                <w:szCs w:val="21"/>
              </w:rPr>
              <w:t>）提供近二年的</w:t>
            </w:r>
            <w:r>
              <w:rPr>
                <w:rFonts w:hint="eastAsia" w:ascii="宋体" w:hAnsi="宋体"/>
                <w:szCs w:val="21"/>
                <w:lang w:val="en-US" w:eastAsia="zh-CN"/>
              </w:rPr>
              <w:t>公司</w:t>
            </w:r>
            <w:r>
              <w:rPr>
                <w:rFonts w:hint="eastAsia" w:ascii="宋体" w:hAnsi="宋体"/>
                <w:szCs w:val="21"/>
              </w:rPr>
              <w:t>业绩。</w:t>
            </w:r>
          </w:p>
        </w:tc>
      </w:tr>
      <w:tr w14:paraId="64CBD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262C96F">
            <w:pPr>
              <w:spacing w:line="400" w:lineRule="exact"/>
              <w:jc w:val="center"/>
              <w:rPr>
                <w:rFonts w:ascii="宋体" w:hAnsi="宋体"/>
                <w:szCs w:val="21"/>
              </w:rPr>
            </w:pPr>
            <w:r>
              <w:rPr>
                <w:rFonts w:hint="eastAsia" w:ascii="宋体" w:hAnsi="宋体"/>
                <w:szCs w:val="21"/>
              </w:rPr>
              <w:t>8</w:t>
            </w:r>
          </w:p>
        </w:tc>
        <w:tc>
          <w:tcPr>
            <w:tcW w:w="1978" w:type="dxa"/>
            <w:tcBorders>
              <w:top w:val="single" w:color="auto" w:sz="4" w:space="0"/>
              <w:left w:val="single" w:color="auto" w:sz="4" w:space="0"/>
              <w:bottom w:val="single" w:color="auto" w:sz="4" w:space="0"/>
              <w:right w:val="single" w:color="auto" w:sz="4" w:space="0"/>
            </w:tcBorders>
            <w:vAlign w:val="center"/>
          </w:tcPr>
          <w:p w14:paraId="6D9F8974">
            <w:pPr>
              <w:spacing w:line="400" w:lineRule="exact"/>
              <w:jc w:val="center"/>
              <w:rPr>
                <w:rFonts w:ascii="宋体" w:hAnsi="宋体"/>
                <w:szCs w:val="21"/>
              </w:rPr>
            </w:pPr>
            <w:r>
              <w:rPr>
                <w:rFonts w:hint="eastAsia" w:ascii="宋体" w:hAnsi="宋体" w:cs="宋体"/>
                <w:spacing w:val="14"/>
                <w:kern w:val="0"/>
                <w:szCs w:val="21"/>
              </w:rPr>
              <w:t>评标方式</w:t>
            </w:r>
          </w:p>
        </w:tc>
        <w:tc>
          <w:tcPr>
            <w:tcW w:w="6895" w:type="dxa"/>
            <w:tcBorders>
              <w:top w:val="single" w:color="auto" w:sz="4" w:space="0"/>
              <w:left w:val="single" w:color="auto" w:sz="4" w:space="0"/>
              <w:bottom w:val="single" w:color="auto" w:sz="4" w:space="0"/>
              <w:right w:val="single" w:color="auto" w:sz="4" w:space="0"/>
            </w:tcBorders>
            <w:vAlign w:val="center"/>
          </w:tcPr>
          <w:p w14:paraId="493F421A">
            <w:pPr>
              <w:spacing w:line="400" w:lineRule="exact"/>
              <w:rPr>
                <w:rFonts w:ascii="宋体" w:hAnsi="宋体"/>
                <w:szCs w:val="21"/>
              </w:rPr>
            </w:pPr>
            <w:r>
              <w:rPr>
                <w:rFonts w:hint="eastAsia" w:ascii="宋体" w:hAnsi="宋体"/>
                <w:szCs w:val="21"/>
              </w:rPr>
              <w:t>经评审低价中标。</w:t>
            </w:r>
          </w:p>
        </w:tc>
      </w:tr>
      <w:tr w14:paraId="4C0C9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C40D22E">
            <w:pPr>
              <w:spacing w:line="400" w:lineRule="exact"/>
              <w:jc w:val="center"/>
              <w:rPr>
                <w:rFonts w:ascii="宋体" w:hAnsi="宋体"/>
                <w:szCs w:val="21"/>
              </w:rPr>
            </w:pPr>
            <w:r>
              <w:rPr>
                <w:rFonts w:hint="eastAsia" w:ascii="宋体" w:hAnsi="宋体"/>
                <w:szCs w:val="21"/>
              </w:rPr>
              <w:t>9</w:t>
            </w:r>
          </w:p>
        </w:tc>
        <w:tc>
          <w:tcPr>
            <w:tcW w:w="1978" w:type="dxa"/>
            <w:tcBorders>
              <w:top w:val="single" w:color="auto" w:sz="4" w:space="0"/>
              <w:left w:val="single" w:color="auto" w:sz="4" w:space="0"/>
              <w:bottom w:val="single" w:color="auto" w:sz="4" w:space="0"/>
              <w:right w:val="single" w:color="auto" w:sz="4" w:space="0"/>
            </w:tcBorders>
            <w:vAlign w:val="center"/>
          </w:tcPr>
          <w:p w14:paraId="57B4DDEA">
            <w:pPr>
              <w:spacing w:line="400" w:lineRule="exact"/>
              <w:jc w:val="center"/>
              <w:rPr>
                <w:rFonts w:ascii="宋体" w:hAnsi="宋体" w:cs="宋体"/>
                <w:spacing w:val="14"/>
                <w:kern w:val="0"/>
                <w:szCs w:val="21"/>
              </w:rPr>
            </w:pPr>
            <w:r>
              <w:rPr>
                <w:rFonts w:hint="eastAsia" w:ascii="宋体" w:hAnsi="宋体" w:cs="宋体"/>
                <w:spacing w:val="14"/>
                <w:kern w:val="0"/>
                <w:szCs w:val="21"/>
              </w:rPr>
              <w:t>投标文件有效期</w:t>
            </w:r>
          </w:p>
        </w:tc>
        <w:tc>
          <w:tcPr>
            <w:tcW w:w="6895" w:type="dxa"/>
            <w:tcBorders>
              <w:top w:val="single" w:color="auto" w:sz="4" w:space="0"/>
              <w:left w:val="single" w:color="auto" w:sz="4" w:space="0"/>
              <w:bottom w:val="single" w:color="auto" w:sz="4" w:space="0"/>
              <w:right w:val="single" w:color="auto" w:sz="4" w:space="0"/>
            </w:tcBorders>
            <w:vAlign w:val="center"/>
          </w:tcPr>
          <w:p w14:paraId="3E58AF0D">
            <w:pPr>
              <w:spacing w:line="400" w:lineRule="exact"/>
              <w:rPr>
                <w:rFonts w:ascii="宋体" w:hAnsi="宋体" w:cs="宋体"/>
                <w:spacing w:val="14"/>
                <w:kern w:val="0"/>
                <w:szCs w:val="21"/>
              </w:rPr>
            </w:pPr>
            <w:r>
              <w:rPr>
                <w:rFonts w:hint="eastAsia" w:ascii="宋体" w:hAnsi="宋体" w:cs="宋体"/>
                <w:spacing w:val="14"/>
                <w:kern w:val="0"/>
                <w:szCs w:val="21"/>
                <w:lang w:val="en-US" w:eastAsia="zh-CN"/>
              </w:rPr>
              <w:t>7</w:t>
            </w:r>
            <w:r>
              <w:rPr>
                <w:rFonts w:hint="eastAsia" w:ascii="宋体" w:hAnsi="宋体" w:cs="宋体"/>
                <w:spacing w:val="14"/>
                <w:kern w:val="0"/>
                <w:szCs w:val="21"/>
              </w:rPr>
              <w:t>日历天（从投标截止之日算起）</w:t>
            </w:r>
          </w:p>
        </w:tc>
      </w:tr>
      <w:tr w14:paraId="5C6C8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544E4A2">
            <w:pPr>
              <w:spacing w:line="400" w:lineRule="exact"/>
              <w:jc w:val="center"/>
              <w:rPr>
                <w:rFonts w:ascii="宋体" w:hAnsi="宋体"/>
                <w:szCs w:val="21"/>
              </w:rPr>
            </w:pPr>
            <w:r>
              <w:rPr>
                <w:rFonts w:hint="eastAsia" w:ascii="宋体" w:hAnsi="宋体"/>
                <w:szCs w:val="21"/>
              </w:rPr>
              <w:t>10</w:t>
            </w:r>
          </w:p>
        </w:tc>
        <w:tc>
          <w:tcPr>
            <w:tcW w:w="1978" w:type="dxa"/>
            <w:tcBorders>
              <w:top w:val="single" w:color="auto" w:sz="4" w:space="0"/>
              <w:left w:val="single" w:color="auto" w:sz="4" w:space="0"/>
              <w:bottom w:val="single" w:color="auto" w:sz="4" w:space="0"/>
              <w:right w:val="single" w:color="auto" w:sz="4" w:space="0"/>
            </w:tcBorders>
            <w:vAlign w:val="center"/>
          </w:tcPr>
          <w:p w14:paraId="64C44635">
            <w:pPr>
              <w:spacing w:line="400" w:lineRule="exact"/>
              <w:jc w:val="center"/>
              <w:rPr>
                <w:rFonts w:ascii="宋体" w:hAnsi="宋体" w:cs="宋体"/>
                <w:spacing w:val="14"/>
                <w:kern w:val="0"/>
                <w:szCs w:val="21"/>
              </w:rPr>
            </w:pPr>
            <w:r>
              <w:rPr>
                <w:rFonts w:hint="eastAsia" w:ascii="宋体" w:hAnsi="宋体" w:cs="宋体"/>
                <w:spacing w:val="14"/>
                <w:kern w:val="0"/>
                <w:szCs w:val="21"/>
              </w:rPr>
              <w:t>投标保证金</w:t>
            </w:r>
          </w:p>
        </w:tc>
        <w:tc>
          <w:tcPr>
            <w:tcW w:w="6895" w:type="dxa"/>
            <w:tcBorders>
              <w:top w:val="single" w:color="auto" w:sz="4" w:space="0"/>
              <w:left w:val="single" w:color="auto" w:sz="4" w:space="0"/>
              <w:bottom w:val="single" w:color="auto" w:sz="4" w:space="0"/>
              <w:right w:val="single" w:color="auto" w:sz="4" w:space="0"/>
            </w:tcBorders>
            <w:vAlign w:val="center"/>
          </w:tcPr>
          <w:p w14:paraId="68C91A03">
            <w:pPr>
              <w:spacing w:line="400" w:lineRule="exact"/>
              <w:rPr>
                <w:rFonts w:ascii="宋体" w:hAnsi="宋体" w:cs="宋体"/>
                <w:spacing w:val="14"/>
                <w:kern w:val="0"/>
                <w:szCs w:val="21"/>
              </w:rPr>
            </w:pPr>
            <w:r>
              <w:rPr>
                <w:rFonts w:hint="eastAsia" w:ascii="宋体" w:hAnsi="宋体" w:cs="宋体"/>
                <w:spacing w:val="14"/>
                <w:kern w:val="0"/>
                <w:szCs w:val="21"/>
              </w:rPr>
              <w:t>无</w:t>
            </w:r>
          </w:p>
        </w:tc>
      </w:tr>
      <w:tr w14:paraId="45B9A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23B3A6F">
            <w:pPr>
              <w:spacing w:line="400" w:lineRule="exact"/>
              <w:jc w:val="center"/>
              <w:rPr>
                <w:rFonts w:ascii="宋体" w:hAnsi="宋体"/>
                <w:szCs w:val="21"/>
              </w:rPr>
            </w:pPr>
            <w:r>
              <w:rPr>
                <w:rFonts w:hint="eastAsia" w:ascii="宋体" w:hAnsi="宋体"/>
                <w:szCs w:val="21"/>
              </w:rPr>
              <w:t>11</w:t>
            </w:r>
          </w:p>
        </w:tc>
        <w:tc>
          <w:tcPr>
            <w:tcW w:w="1978" w:type="dxa"/>
            <w:tcBorders>
              <w:top w:val="single" w:color="auto" w:sz="4" w:space="0"/>
              <w:left w:val="single" w:color="auto" w:sz="4" w:space="0"/>
              <w:bottom w:val="single" w:color="auto" w:sz="4" w:space="0"/>
              <w:right w:val="single" w:color="auto" w:sz="4" w:space="0"/>
            </w:tcBorders>
            <w:vAlign w:val="center"/>
          </w:tcPr>
          <w:p w14:paraId="14E39400">
            <w:pPr>
              <w:spacing w:line="400" w:lineRule="exact"/>
              <w:jc w:val="center"/>
              <w:rPr>
                <w:rFonts w:ascii="宋体" w:hAnsi="宋体"/>
                <w:szCs w:val="21"/>
              </w:rPr>
            </w:pPr>
            <w:r>
              <w:rPr>
                <w:rFonts w:hint="eastAsia" w:ascii="宋体" w:hAnsi="宋体"/>
                <w:szCs w:val="21"/>
              </w:rPr>
              <w:t>履约</w:t>
            </w:r>
            <w:r>
              <w:rPr>
                <w:rFonts w:ascii="宋体" w:hAnsi="宋体"/>
                <w:szCs w:val="21"/>
              </w:rPr>
              <w:t>保证金</w:t>
            </w:r>
          </w:p>
        </w:tc>
        <w:tc>
          <w:tcPr>
            <w:tcW w:w="6895" w:type="dxa"/>
            <w:tcBorders>
              <w:top w:val="single" w:color="auto" w:sz="4" w:space="0"/>
              <w:left w:val="single" w:color="auto" w:sz="4" w:space="0"/>
              <w:bottom w:val="single" w:color="auto" w:sz="4" w:space="0"/>
              <w:right w:val="single" w:color="auto" w:sz="4" w:space="0"/>
            </w:tcBorders>
            <w:vAlign w:val="center"/>
          </w:tcPr>
          <w:p w14:paraId="0880191B">
            <w:pPr>
              <w:spacing w:line="360" w:lineRule="auto"/>
              <w:rPr>
                <w:rFonts w:ascii="宋体" w:hAnsi="宋体"/>
                <w:szCs w:val="21"/>
              </w:rPr>
            </w:pPr>
            <w:r>
              <w:rPr>
                <w:rFonts w:hint="eastAsia" w:ascii="宋体" w:hAnsi="宋体"/>
                <w:szCs w:val="21"/>
              </w:rPr>
              <w:t>1）履约保证金及支付方式：无。</w:t>
            </w:r>
          </w:p>
          <w:p w14:paraId="44CC9723">
            <w:pPr>
              <w:spacing w:line="360" w:lineRule="auto"/>
              <w:rPr>
                <w:rFonts w:ascii="宋体" w:hAnsi="宋体"/>
                <w:szCs w:val="21"/>
              </w:rPr>
            </w:pPr>
            <w:r>
              <w:rPr>
                <w:rFonts w:hint="eastAsia" w:ascii="宋体" w:hAnsi="宋体"/>
                <w:szCs w:val="21"/>
              </w:rPr>
              <w:t>2）缴纳方式</w:t>
            </w:r>
            <w:r>
              <w:rPr>
                <w:rFonts w:ascii="宋体" w:hAnsi="宋体"/>
                <w:szCs w:val="21"/>
              </w:rPr>
              <w:t>及时间：</w:t>
            </w:r>
            <w:r>
              <w:rPr>
                <w:rFonts w:hint="eastAsia" w:ascii="宋体" w:hAnsi="宋体"/>
                <w:szCs w:val="21"/>
              </w:rPr>
              <w:t>无。</w:t>
            </w:r>
          </w:p>
          <w:p w14:paraId="414058B7">
            <w:pPr>
              <w:spacing w:line="360" w:lineRule="auto"/>
              <w:rPr>
                <w:rFonts w:ascii="宋体" w:hAnsi="宋体"/>
                <w:szCs w:val="21"/>
              </w:rPr>
            </w:pPr>
            <w:r>
              <w:rPr>
                <w:rFonts w:hint="eastAsia" w:ascii="宋体" w:hAnsi="宋体"/>
                <w:szCs w:val="21"/>
              </w:rPr>
              <w:t>3）履约保证有效期：无。</w:t>
            </w:r>
          </w:p>
        </w:tc>
      </w:tr>
      <w:tr w14:paraId="1EC8F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605E75A">
            <w:pPr>
              <w:spacing w:line="400" w:lineRule="exact"/>
              <w:jc w:val="center"/>
              <w:rPr>
                <w:rFonts w:ascii="宋体" w:hAnsi="宋体"/>
                <w:szCs w:val="21"/>
              </w:rPr>
            </w:pPr>
            <w:r>
              <w:rPr>
                <w:rFonts w:hint="eastAsia" w:ascii="宋体" w:hAnsi="宋体"/>
                <w:szCs w:val="21"/>
              </w:rPr>
              <w:t>12</w:t>
            </w:r>
          </w:p>
        </w:tc>
        <w:tc>
          <w:tcPr>
            <w:tcW w:w="1978" w:type="dxa"/>
            <w:tcBorders>
              <w:top w:val="single" w:color="auto" w:sz="4" w:space="0"/>
              <w:left w:val="single" w:color="auto" w:sz="4" w:space="0"/>
              <w:bottom w:val="single" w:color="auto" w:sz="4" w:space="0"/>
              <w:right w:val="single" w:color="auto" w:sz="4" w:space="0"/>
            </w:tcBorders>
            <w:vAlign w:val="center"/>
          </w:tcPr>
          <w:p w14:paraId="31F8427E">
            <w:pPr>
              <w:spacing w:line="400" w:lineRule="exact"/>
              <w:jc w:val="center"/>
              <w:rPr>
                <w:rFonts w:ascii="宋体" w:hAnsi="宋体" w:cs="宋体"/>
                <w:spacing w:val="14"/>
                <w:kern w:val="0"/>
                <w:szCs w:val="21"/>
              </w:rPr>
            </w:pPr>
            <w:r>
              <w:rPr>
                <w:rFonts w:hint="eastAsia" w:ascii="宋体" w:hAnsi="宋体" w:cs="宋体"/>
                <w:spacing w:val="14"/>
                <w:kern w:val="0"/>
                <w:szCs w:val="21"/>
              </w:rPr>
              <w:t>投标文件提交截止时间和地点</w:t>
            </w:r>
          </w:p>
        </w:tc>
        <w:tc>
          <w:tcPr>
            <w:tcW w:w="6895" w:type="dxa"/>
            <w:tcBorders>
              <w:top w:val="single" w:color="auto" w:sz="4" w:space="0"/>
              <w:left w:val="single" w:color="auto" w:sz="4" w:space="0"/>
              <w:bottom w:val="single" w:color="auto" w:sz="4" w:space="0"/>
              <w:right w:val="single" w:color="auto" w:sz="4" w:space="0"/>
            </w:tcBorders>
            <w:vAlign w:val="center"/>
          </w:tcPr>
          <w:p w14:paraId="196FBD22">
            <w:pPr>
              <w:spacing w:line="400" w:lineRule="exact"/>
              <w:jc w:val="left"/>
              <w:rPr>
                <w:rFonts w:ascii="宋体" w:hAnsi="宋体"/>
                <w:b/>
                <w:szCs w:val="21"/>
              </w:rPr>
            </w:pPr>
            <w:r>
              <w:rPr>
                <w:rFonts w:hint="eastAsia" w:ascii="宋体" w:hAnsi="宋体"/>
                <w:b/>
                <w:szCs w:val="21"/>
              </w:rPr>
              <w:t>投标截止时间：</w:t>
            </w:r>
            <w:r>
              <w:rPr>
                <w:rFonts w:hint="eastAsia" w:ascii="宋体" w:hAnsi="宋体"/>
                <w:b/>
                <w:szCs w:val="21"/>
                <w:lang w:val="en-US" w:eastAsia="zh-CN"/>
              </w:rPr>
              <w:t>2025</w:t>
            </w:r>
            <w:r>
              <w:rPr>
                <w:rFonts w:hint="eastAsia" w:ascii="宋体" w:hAnsi="宋体"/>
                <w:b/>
                <w:szCs w:val="21"/>
              </w:rPr>
              <w:t>年</w:t>
            </w:r>
            <w:r>
              <w:rPr>
                <w:rFonts w:hint="eastAsia" w:ascii="宋体" w:hAnsi="宋体"/>
                <w:b/>
                <w:szCs w:val="21"/>
                <w:lang w:val="en-US" w:eastAsia="zh-CN"/>
              </w:rPr>
              <w:t>3</w:t>
            </w:r>
            <w:r>
              <w:rPr>
                <w:rFonts w:hint="eastAsia" w:ascii="宋体" w:hAnsi="宋体"/>
                <w:b/>
                <w:szCs w:val="21"/>
              </w:rPr>
              <w:t>月</w:t>
            </w:r>
            <w:r>
              <w:rPr>
                <w:rFonts w:hint="eastAsia" w:ascii="宋体" w:hAnsi="宋体"/>
                <w:b/>
                <w:szCs w:val="21"/>
                <w:lang w:val="en-US" w:eastAsia="zh-CN"/>
              </w:rPr>
              <w:t>10</w:t>
            </w:r>
            <w:r>
              <w:rPr>
                <w:rFonts w:hint="eastAsia" w:ascii="宋体" w:hAnsi="宋体"/>
                <w:b/>
                <w:szCs w:val="21"/>
              </w:rPr>
              <w:t>日</w:t>
            </w:r>
            <w:r>
              <w:rPr>
                <w:rFonts w:hint="eastAsia" w:ascii="宋体" w:hAnsi="宋体"/>
                <w:b/>
                <w:szCs w:val="21"/>
                <w:lang w:val="en-US" w:eastAsia="zh-CN"/>
              </w:rPr>
              <w:t>18</w:t>
            </w:r>
            <w:r>
              <w:rPr>
                <w:rFonts w:hint="eastAsia" w:ascii="宋体" w:hAnsi="宋体"/>
                <w:b/>
                <w:szCs w:val="21"/>
              </w:rPr>
              <w:t>时之前。</w:t>
            </w:r>
          </w:p>
          <w:p w14:paraId="61586A80">
            <w:pPr>
              <w:spacing w:line="400" w:lineRule="exact"/>
              <w:jc w:val="left"/>
              <w:rPr>
                <w:rFonts w:hint="default" w:ascii="宋体" w:hAnsi="宋体"/>
                <w:b/>
                <w:sz w:val="28"/>
                <w:szCs w:val="28"/>
                <w:lang w:val="en-US" w:eastAsia="zh-CN"/>
              </w:rPr>
            </w:pPr>
            <w:r>
              <w:rPr>
                <w:rFonts w:hint="eastAsia" w:ascii="宋体" w:hAnsi="宋体"/>
                <w:szCs w:val="21"/>
              </w:rPr>
              <w:t>投标地址：</w:t>
            </w:r>
            <w:r>
              <w:rPr>
                <w:rFonts w:hint="eastAsia" w:ascii="宋体" w:hAnsi="宋体"/>
                <w:b w:val="0"/>
                <w:bCs/>
                <w:sz w:val="24"/>
                <w:szCs w:val="24"/>
                <w:lang w:val="en-US" w:eastAsia="zh-CN"/>
              </w:rPr>
              <w:t>金盛达建材家居博览中心美食街3楼</w:t>
            </w:r>
          </w:p>
          <w:p w14:paraId="2EEC93B0">
            <w:pPr>
              <w:spacing w:line="400" w:lineRule="exact"/>
              <w:jc w:val="left"/>
              <w:rPr>
                <w:rFonts w:hint="default" w:ascii="宋体" w:hAnsi="宋体" w:eastAsia="宋体"/>
                <w:szCs w:val="21"/>
                <w:lang w:val="en-US" w:eastAsia="zh-CN"/>
              </w:rPr>
            </w:pPr>
            <w:r>
              <w:rPr>
                <w:rFonts w:hint="eastAsia" w:ascii="宋体" w:hAnsi="宋体"/>
                <w:szCs w:val="21"/>
              </w:rPr>
              <w:t>联系人及电话：</w:t>
            </w:r>
            <w:r>
              <w:rPr>
                <w:rFonts w:hint="eastAsia" w:ascii="宋体" w:hAnsi="宋体"/>
                <w:szCs w:val="21"/>
                <w:lang w:val="en-US" w:eastAsia="zh-CN"/>
              </w:rPr>
              <w:t>李泽前 13907610918</w:t>
            </w:r>
          </w:p>
          <w:p w14:paraId="1611736C">
            <w:pPr>
              <w:spacing w:line="400" w:lineRule="exact"/>
              <w:jc w:val="left"/>
              <w:rPr>
                <w:rFonts w:ascii="宋体" w:hAnsi="宋体" w:cs="宋体"/>
                <w:spacing w:val="14"/>
                <w:kern w:val="0"/>
                <w:szCs w:val="21"/>
              </w:rPr>
            </w:pPr>
            <w:r>
              <w:rPr>
                <w:rFonts w:hint="eastAsia" w:ascii="宋体" w:hAnsi="宋体"/>
                <w:szCs w:val="21"/>
              </w:rPr>
              <w:t>邮箱：</w:t>
            </w:r>
          </w:p>
        </w:tc>
      </w:tr>
      <w:tr w14:paraId="7B2ED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28D835A">
            <w:pPr>
              <w:spacing w:line="400" w:lineRule="exact"/>
              <w:jc w:val="center"/>
              <w:rPr>
                <w:rFonts w:ascii="宋体" w:hAnsi="宋体"/>
                <w:szCs w:val="21"/>
              </w:rPr>
            </w:pPr>
            <w:r>
              <w:rPr>
                <w:rFonts w:hint="eastAsia" w:ascii="宋体" w:hAnsi="宋体"/>
                <w:szCs w:val="21"/>
              </w:rPr>
              <w:t>13</w:t>
            </w:r>
          </w:p>
        </w:tc>
        <w:tc>
          <w:tcPr>
            <w:tcW w:w="1978" w:type="dxa"/>
            <w:tcBorders>
              <w:top w:val="single" w:color="auto" w:sz="4" w:space="0"/>
              <w:left w:val="single" w:color="auto" w:sz="4" w:space="0"/>
              <w:bottom w:val="single" w:color="auto" w:sz="4" w:space="0"/>
              <w:right w:val="single" w:color="auto" w:sz="4" w:space="0"/>
            </w:tcBorders>
            <w:vAlign w:val="center"/>
          </w:tcPr>
          <w:p w14:paraId="7C452D2E">
            <w:pPr>
              <w:spacing w:line="400" w:lineRule="exact"/>
              <w:jc w:val="center"/>
              <w:rPr>
                <w:rFonts w:ascii="宋体" w:hAnsi="宋体" w:cs="宋体"/>
                <w:spacing w:val="14"/>
                <w:kern w:val="0"/>
                <w:szCs w:val="21"/>
              </w:rPr>
            </w:pPr>
            <w:r>
              <w:rPr>
                <w:rFonts w:hint="eastAsia" w:ascii="宋体" w:hAnsi="宋体" w:cs="宋体"/>
                <w:spacing w:val="14"/>
                <w:kern w:val="0"/>
                <w:szCs w:val="21"/>
              </w:rPr>
              <w:t>投标文件装订</w:t>
            </w:r>
          </w:p>
          <w:p w14:paraId="2BE1A460">
            <w:pPr>
              <w:spacing w:line="400" w:lineRule="exact"/>
              <w:jc w:val="center"/>
              <w:rPr>
                <w:rFonts w:ascii="宋体" w:hAnsi="宋体" w:cs="宋体"/>
                <w:spacing w:val="14"/>
                <w:kern w:val="0"/>
                <w:szCs w:val="21"/>
              </w:rPr>
            </w:pPr>
            <w:r>
              <w:rPr>
                <w:rFonts w:hint="eastAsia" w:ascii="宋体" w:hAnsi="宋体" w:cs="宋体"/>
                <w:spacing w:val="14"/>
                <w:kern w:val="0"/>
                <w:szCs w:val="21"/>
              </w:rPr>
              <w:t>份数</w:t>
            </w:r>
          </w:p>
        </w:tc>
        <w:tc>
          <w:tcPr>
            <w:tcW w:w="6895" w:type="dxa"/>
            <w:tcBorders>
              <w:top w:val="single" w:color="auto" w:sz="4" w:space="0"/>
              <w:left w:val="single" w:color="auto" w:sz="4" w:space="0"/>
              <w:bottom w:val="single" w:color="auto" w:sz="4" w:space="0"/>
              <w:right w:val="single" w:color="auto" w:sz="4" w:space="0"/>
            </w:tcBorders>
            <w:vAlign w:val="center"/>
          </w:tcPr>
          <w:p w14:paraId="6371002E">
            <w:pPr>
              <w:spacing w:line="400" w:lineRule="exact"/>
              <w:rPr>
                <w:rFonts w:ascii="宋体" w:hAnsi="宋体" w:cs="宋体"/>
                <w:spacing w:val="14"/>
                <w:kern w:val="0"/>
                <w:sz w:val="18"/>
                <w:szCs w:val="18"/>
              </w:rPr>
            </w:pPr>
            <w:r>
              <w:rPr>
                <w:rFonts w:hint="eastAsia" w:ascii="宋体" w:hAnsi="宋体" w:cs="宋体"/>
                <w:spacing w:val="14"/>
                <w:kern w:val="0"/>
                <w:szCs w:val="21"/>
              </w:rPr>
              <w:t>投标文件正副本各1份</w:t>
            </w:r>
            <w:r>
              <w:rPr>
                <w:rFonts w:hint="eastAsia" w:ascii="宋体" w:hAnsi="宋体" w:cs="宋体"/>
                <w:b/>
                <w:bCs/>
                <w:spacing w:val="14"/>
                <w:kern w:val="0"/>
                <w:szCs w:val="21"/>
              </w:rPr>
              <w:t>(均采用胶装方式，不得采用活页方式装订)</w:t>
            </w:r>
          </w:p>
        </w:tc>
      </w:tr>
      <w:tr w14:paraId="406F2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568AEBB">
            <w:pPr>
              <w:spacing w:line="400" w:lineRule="exact"/>
              <w:jc w:val="center"/>
              <w:rPr>
                <w:rFonts w:ascii="宋体" w:hAnsi="宋体"/>
                <w:szCs w:val="21"/>
              </w:rPr>
            </w:pPr>
            <w:r>
              <w:rPr>
                <w:rFonts w:hint="eastAsia" w:ascii="宋体" w:hAnsi="宋体"/>
                <w:szCs w:val="21"/>
              </w:rPr>
              <w:t>14</w:t>
            </w:r>
          </w:p>
        </w:tc>
        <w:tc>
          <w:tcPr>
            <w:tcW w:w="1978" w:type="dxa"/>
            <w:tcBorders>
              <w:top w:val="single" w:color="auto" w:sz="4" w:space="0"/>
              <w:left w:val="single" w:color="auto" w:sz="4" w:space="0"/>
              <w:bottom w:val="single" w:color="auto" w:sz="4" w:space="0"/>
              <w:right w:val="single" w:color="auto" w:sz="4" w:space="0"/>
            </w:tcBorders>
            <w:vAlign w:val="center"/>
          </w:tcPr>
          <w:p w14:paraId="03633260">
            <w:pPr>
              <w:spacing w:line="400" w:lineRule="exact"/>
              <w:jc w:val="center"/>
              <w:rPr>
                <w:rFonts w:ascii="宋体" w:hAnsi="宋体" w:cs="宋体"/>
                <w:spacing w:val="14"/>
                <w:kern w:val="0"/>
                <w:szCs w:val="21"/>
              </w:rPr>
            </w:pPr>
            <w:r>
              <w:rPr>
                <w:rFonts w:hint="eastAsia" w:ascii="宋体" w:hAnsi="宋体" w:cs="宋体"/>
                <w:spacing w:val="14"/>
                <w:kern w:val="0"/>
                <w:szCs w:val="21"/>
              </w:rPr>
              <w:t>邀标资料包含</w:t>
            </w:r>
          </w:p>
        </w:tc>
        <w:tc>
          <w:tcPr>
            <w:tcW w:w="6895" w:type="dxa"/>
            <w:tcBorders>
              <w:top w:val="single" w:color="auto" w:sz="4" w:space="0"/>
              <w:left w:val="single" w:color="auto" w:sz="4" w:space="0"/>
              <w:bottom w:val="single" w:color="auto" w:sz="4" w:space="0"/>
              <w:right w:val="single" w:color="auto" w:sz="4" w:space="0"/>
            </w:tcBorders>
            <w:vAlign w:val="center"/>
          </w:tcPr>
          <w:p w14:paraId="4070DBE6">
            <w:pPr>
              <w:spacing w:line="400" w:lineRule="exact"/>
              <w:rPr>
                <w:rFonts w:ascii="宋体" w:hAnsi="宋体"/>
                <w:szCs w:val="21"/>
              </w:rPr>
            </w:pPr>
            <w:r>
              <w:rPr>
                <w:rFonts w:hint="eastAsia" w:ascii="宋体" w:hAnsi="宋体"/>
                <w:szCs w:val="21"/>
              </w:rPr>
              <w:t>1）邀标文件1份。</w:t>
            </w:r>
          </w:p>
          <w:p w14:paraId="72250DD4">
            <w:pPr>
              <w:spacing w:line="400" w:lineRule="exact"/>
              <w:rPr>
                <w:rFonts w:ascii="宋体" w:hAnsi="宋体"/>
                <w:szCs w:val="21"/>
              </w:rPr>
            </w:pPr>
            <w:r>
              <w:rPr>
                <w:rFonts w:hint="eastAsia" w:ascii="宋体" w:hAnsi="宋体"/>
                <w:szCs w:val="21"/>
              </w:rPr>
              <w:t>2）报价要求明细表1份。</w:t>
            </w:r>
          </w:p>
          <w:p w14:paraId="057517AF">
            <w:pPr>
              <w:spacing w:line="400" w:lineRule="exact"/>
              <w:rPr>
                <w:rFonts w:ascii="宋体" w:hAnsi="宋体"/>
                <w:szCs w:val="21"/>
              </w:rPr>
            </w:pPr>
            <w:r>
              <w:rPr>
                <w:rFonts w:hint="eastAsia" w:ascii="宋体" w:hAnsi="宋体"/>
                <w:szCs w:val="21"/>
              </w:rPr>
              <w:t>3）</w:t>
            </w:r>
            <w:r>
              <w:rPr>
                <w:rFonts w:hint="eastAsia" w:ascii="宋体" w:hAnsi="宋体" w:cs="宋体"/>
                <w:kern w:val="0"/>
                <w:szCs w:val="21"/>
              </w:rPr>
              <w:t>图纸1套</w:t>
            </w:r>
            <w:r>
              <w:rPr>
                <w:rFonts w:hint="eastAsia" w:ascii="宋体" w:hAnsi="宋体"/>
                <w:szCs w:val="21"/>
              </w:rPr>
              <w:t>。</w:t>
            </w:r>
          </w:p>
        </w:tc>
      </w:tr>
      <w:tr w14:paraId="178CE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FD5BFA7">
            <w:pPr>
              <w:spacing w:line="400" w:lineRule="exact"/>
              <w:jc w:val="center"/>
              <w:rPr>
                <w:rFonts w:ascii="宋体" w:hAnsi="宋体"/>
                <w:szCs w:val="21"/>
              </w:rPr>
            </w:pPr>
            <w:r>
              <w:rPr>
                <w:rFonts w:hint="eastAsia" w:ascii="宋体" w:hAnsi="宋体"/>
                <w:szCs w:val="21"/>
              </w:rPr>
              <w:t>15</w:t>
            </w:r>
          </w:p>
        </w:tc>
        <w:tc>
          <w:tcPr>
            <w:tcW w:w="1978" w:type="dxa"/>
            <w:tcBorders>
              <w:top w:val="single" w:color="auto" w:sz="4" w:space="0"/>
              <w:left w:val="single" w:color="auto" w:sz="4" w:space="0"/>
              <w:bottom w:val="single" w:color="auto" w:sz="4" w:space="0"/>
              <w:right w:val="single" w:color="auto" w:sz="4" w:space="0"/>
            </w:tcBorders>
            <w:vAlign w:val="center"/>
          </w:tcPr>
          <w:p w14:paraId="4819FF83">
            <w:pPr>
              <w:spacing w:line="400" w:lineRule="exact"/>
              <w:jc w:val="center"/>
              <w:rPr>
                <w:rFonts w:ascii="宋体" w:hAnsi="宋体"/>
                <w:szCs w:val="21"/>
              </w:rPr>
            </w:pPr>
            <w:r>
              <w:rPr>
                <w:rFonts w:hint="eastAsia" w:ascii="宋体" w:hAnsi="宋体"/>
                <w:szCs w:val="21"/>
              </w:rPr>
              <w:t>邀标</w:t>
            </w:r>
            <w:r>
              <w:rPr>
                <w:rFonts w:ascii="宋体" w:hAnsi="宋体"/>
                <w:szCs w:val="21"/>
              </w:rPr>
              <w:t>文件的发放</w:t>
            </w:r>
          </w:p>
        </w:tc>
        <w:tc>
          <w:tcPr>
            <w:tcW w:w="6895" w:type="dxa"/>
            <w:tcBorders>
              <w:top w:val="single" w:color="auto" w:sz="4" w:space="0"/>
              <w:left w:val="single" w:color="auto" w:sz="4" w:space="0"/>
              <w:bottom w:val="single" w:color="auto" w:sz="4" w:space="0"/>
              <w:right w:val="single" w:color="auto" w:sz="4" w:space="0"/>
            </w:tcBorders>
            <w:vAlign w:val="center"/>
          </w:tcPr>
          <w:p w14:paraId="46DE5B34">
            <w:pPr>
              <w:spacing w:line="360" w:lineRule="auto"/>
              <w:rPr>
                <w:rFonts w:ascii="宋体" w:hAnsi="宋体"/>
                <w:szCs w:val="21"/>
              </w:rPr>
            </w:pPr>
            <w:r>
              <w:rPr>
                <w:rFonts w:hint="eastAsia" w:ascii="宋体" w:hAnsi="宋体"/>
                <w:szCs w:val="21"/>
              </w:rPr>
              <w:t>邀标人以电子邮件形式发放给投标人，邮箱地址：</w:t>
            </w:r>
            <w:r>
              <w:rPr>
                <w:rFonts w:hint="eastAsia" w:ascii="宋体" w:hAnsi="宋体"/>
                <w:szCs w:val="21"/>
                <w:lang w:val="en-US" w:eastAsia="zh-CN"/>
              </w:rPr>
              <w:t>hnydwyb@163.com</w:t>
            </w:r>
          </w:p>
        </w:tc>
      </w:tr>
      <w:tr w14:paraId="39FA0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5E5A454">
            <w:pPr>
              <w:spacing w:line="400" w:lineRule="exact"/>
              <w:jc w:val="center"/>
              <w:rPr>
                <w:rFonts w:ascii="宋体" w:hAnsi="宋体"/>
                <w:szCs w:val="21"/>
              </w:rPr>
            </w:pPr>
            <w:r>
              <w:rPr>
                <w:rFonts w:hint="eastAsia" w:ascii="宋体" w:hAnsi="宋体"/>
                <w:szCs w:val="21"/>
              </w:rPr>
              <w:t>16</w:t>
            </w:r>
          </w:p>
        </w:tc>
        <w:tc>
          <w:tcPr>
            <w:tcW w:w="1978" w:type="dxa"/>
            <w:tcBorders>
              <w:top w:val="single" w:color="auto" w:sz="4" w:space="0"/>
              <w:left w:val="single" w:color="auto" w:sz="4" w:space="0"/>
              <w:bottom w:val="single" w:color="auto" w:sz="4" w:space="0"/>
              <w:right w:val="single" w:color="auto" w:sz="4" w:space="0"/>
            </w:tcBorders>
            <w:vAlign w:val="center"/>
          </w:tcPr>
          <w:p w14:paraId="16BC20B8">
            <w:pPr>
              <w:spacing w:line="400" w:lineRule="exact"/>
              <w:jc w:val="center"/>
              <w:rPr>
                <w:rFonts w:ascii="宋体" w:hAnsi="宋体" w:cs="宋体"/>
                <w:spacing w:val="14"/>
                <w:kern w:val="0"/>
                <w:szCs w:val="21"/>
              </w:rPr>
            </w:pPr>
            <w:r>
              <w:rPr>
                <w:rFonts w:hint="eastAsia" w:ascii="宋体" w:hAnsi="宋体"/>
                <w:szCs w:val="21"/>
              </w:rPr>
              <w:t>邀标答疑</w:t>
            </w:r>
          </w:p>
        </w:tc>
        <w:tc>
          <w:tcPr>
            <w:tcW w:w="6895" w:type="dxa"/>
            <w:tcBorders>
              <w:top w:val="single" w:color="auto" w:sz="4" w:space="0"/>
              <w:left w:val="single" w:color="auto" w:sz="4" w:space="0"/>
              <w:bottom w:val="single" w:color="auto" w:sz="4" w:space="0"/>
              <w:right w:val="single" w:color="auto" w:sz="4" w:space="0"/>
            </w:tcBorders>
            <w:vAlign w:val="center"/>
          </w:tcPr>
          <w:p w14:paraId="2296E927">
            <w:pPr>
              <w:spacing w:line="400" w:lineRule="exact"/>
              <w:jc w:val="left"/>
              <w:rPr>
                <w:rFonts w:hint="default" w:ascii="宋体" w:hAnsi="宋体" w:eastAsia="宋体"/>
                <w:szCs w:val="21"/>
                <w:lang w:val="en-US" w:eastAsia="zh-CN"/>
              </w:rPr>
            </w:pPr>
            <w:r>
              <w:rPr>
                <w:rFonts w:hint="eastAsia" w:ascii="宋体" w:hAnsi="宋体"/>
                <w:szCs w:val="21"/>
              </w:rPr>
              <w:t>联系人及电话：</w:t>
            </w:r>
            <w:r>
              <w:rPr>
                <w:rFonts w:hint="eastAsia" w:ascii="宋体" w:hAnsi="宋体"/>
                <w:szCs w:val="21"/>
                <w:lang w:val="en-US" w:eastAsia="zh-CN"/>
              </w:rPr>
              <w:t>马工18417173768</w:t>
            </w:r>
          </w:p>
        </w:tc>
      </w:tr>
    </w:tbl>
    <w:p w14:paraId="696853EE">
      <w:pPr>
        <w:spacing w:line="400" w:lineRule="exact"/>
        <w:jc w:val="center"/>
        <w:rPr>
          <w:rFonts w:ascii="宋体" w:hAnsi="宋体" w:cs="宋体"/>
          <w:b/>
          <w:spacing w:val="14"/>
          <w:kern w:val="0"/>
          <w:sz w:val="32"/>
          <w:szCs w:val="32"/>
          <w:shd w:val="pct10" w:color="auto" w:fill="FFFFFF"/>
        </w:rPr>
      </w:pPr>
    </w:p>
    <w:p w14:paraId="337E966B">
      <w:pPr>
        <w:spacing w:line="400" w:lineRule="exact"/>
        <w:jc w:val="center"/>
        <w:rPr>
          <w:rFonts w:hint="eastAsia" w:ascii="宋体" w:hAnsi="宋体" w:cs="宋体"/>
          <w:b/>
          <w:spacing w:val="14"/>
          <w:kern w:val="0"/>
          <w:sz w:val="32"/>
          <w:szCs w:val="32"/>
          <w:shd w:val="pct10" w:color="auto" w:fill="FFFFFF"/>
        </w:rPr>
      </w:pPr>
    </w:p>
    <w:p w14:paraId="2ADF149C">
      <w:pPr>
        <w:spacing w:line="400" w:lineRule="exact"/>
        <w:jc w:val="center"/>
        <w:rPr>
          <w:rFonts w:hint="eastAsia" w:ascii="宋体" w:hAnsi="宋体" w:cs="宋体"/>
          <w:b/>
          <w:spacing w:val="14"/>
          <w:kern w:val="0"/>
          <w:sz w:val="32"/>
          <w:szCs w:val="32"/>
          <w:shd w:val="pct10" w:color="auto" w:fill="FFFFFF"/>
        </w:rPr>
      </w:pPr>
    </w:p>
    <w:p w14:paraId="762BED98">
      <w:pPr>
        <w:spacing w:line="400" w:lineRule="exact"/>
        <w:jc w:val="center"/>
        <w:rPr>
          <w:rFonts w:hint="eastAsia" w:ascii="宋体" w:hAnsi="宋体" w:cs="宋体"/>
          <w:b/>
          <w:spacing w:val="14"/>
          <w:kern w:val="0"/>
          <w:sz w:val="32"/>
          <w:szCs w:val="32"/>
          <w:shd w:val="pct10" w:color="auto" w:fill="FFFFFF"/>
        </w:rPr>
      </w:pPr>
    </w:p>
    <w:p w14:paraId="108B625C">
      <w:pPr>
        <w:spacing w:line="400" w:lineRule="exact"/>
        <w:jc w:val="center"/>
        <w:rPr>
          <w:rFonts w:ascii="宋体" w:hAnsi="宋体" w:cs="宋体"/>
          <w:b/>
          <w:spacing w:val="14"/>
          <w:kern w:val="0"/>
          <w:sz w:val="32"/>
          <w:szCs w:val="32"/>
          <w:shd w:val="pct10" w:color="auto" w:fill="FFFFFF"/>
        </w:rPr>
      </w:pPr>
      <w:r>
        <w:rPr>
          <w:rFonts w:hint="eastAsia" w:ascii="宋体" w:hAnsi="宋体" w:cs="宋体"/>
          <w:b/>
          <w:spacing w:val="14"/>
          <w:kern w:val="0"/>
          <w:sz w:val="32"/>
          <w:szCs w:val="32"/>
          <w:shd w:val="pct10" w:color="auto" w:fill="FFFFFF"/>
        </w:rPr>
        <w:t>第二章  投标人须知</w:t>
      </w:r>
    </w:p>
    <w:p w14:paraId="5350CE4A">
      <w:pPr>
        <w:spacing w:line="400" w:lineRule="exact"/>
        <w:jc w:val="left"/>
        <w:rPr>
          <w:rFonts w:ascii="宋体" w:hAnsi="宋体" w:cs="宋体"/>
          <w:b/>
          <w:spacing w:val="14"/>
          <w:kern w:val="0"/>
          <w:sz w:val="24"/>
          <w:szCs w:val="24"/>
        </w:rPr>
      </w:pPr>
      <w:r>
        <w:rPr>
          <w:rFonts w:hint="eastAsia" w:ascii="宋体" w:hAnsi="宋体" w:cs="宋体"/>
          <w:b/>
          <w:spacing w:val="14"/>
          <w:kern w:val="0"/>
          <w:sz w:val="24"/>
          <w:szCs w:val="24"/>
        </w:rPr>
        <w:t>一、邀标条件</w:t>
      </w:r>
    </w:p>
    <w:p w14:paraId="62E94EB6">
      <w:pPr>
        <w:spacing w:line="400" w:lineRule="exact"/>
        <w:jc w:val="left"/>
        <w:rPr>
          <w:rFonts w:ascii="宋体" w:hAnsi="宋体"/>
          <w:b/>
          <w:szCs w:val="21"/>
        </w:rPr>
      </w:pPr>
      <w:r>
        <w:rPr>
          <w:rFonts w:hint="eastAsia" w:ascii="宋体" w:hAnsi="宋体" w:cs="宋体"/>
          <w:b/>
          <w:spacing w:val="14"/>
          <w:kern w:val="0"/>
          <w:szCs w:val="21"/>
        </w:rPr>
        <w:t>（一）踏勘现场：</w:t>
      </w:r>
      <w:r>
        <w:rPr>
          <w:rFonts w:hint="eastAsia" w:ascii="宋体" w:hAnsi="宋体" w:cs="宋体"/>
          <w:spacing w:val="14"/>
          <w:kern w:val="0"/>
        </w:rPr>
        <w:t>投标方自行查勘，</w:t>
      </w:r>
      <w:r>
        <w:rPr>
          <w:rFonts w:hint="eastAsia" w:ascii="宋体" w:hAnsi="宋体"/>
        </w:rPr>
        <w:t>了解现场可能影响投标单位报价的资料，承担踏勘现场的责任、风险以及所发生的费用。</w:t>
      </w:r>
      <w:r>
        <w:rPr>
          <w:rFonts w:hint="eastAsia" w:ascii="宋体" w:hAnsi="宋体" w:cs="宋体"/>
          <w:spacing w:val="14"/>
          <w:kern w:val="0"/>
        </w:rPr>
        <w:t>并对查勘结果的准确性负责。</w:t>
      </w:r>
      <w:r>
        <w:rPr>
          <w:rFonts w:hint="eastAsia" w:ascii="宋体" w:hAnsi="宋体"/>
        </w:rPr>
        <w:t>一旦中标，中标单位不得以不了解现场情况为借口，而提出额外费用、赔偿或延长工期等任何要求。</w:t>
      </w:r>
    </w:p>
    <w:p w14:paraId="442084A1">
      <w:pPr>
        <w:spacing w:line="400" w:lineRule="exact"/>
        <w:jc w:val="left"/>
        <w:rPr>
          <w:rFonts w:ascii="宋体" w:hAnsi="宋体"/>
          <w:b/>
          <w:szCs w:val="21"/>
        </w:rPr>
      </w:pPr>
      <w:r>
        <w:rPr>
          <w:rFonts w:hint="eastAsia" w:ascii="宋体" w:hAnsi="宋体"/>
          <w:b/>
          <w:szCs w:val="21"/>
        </w:rPr>
        <w:t>（二）</w:t>
      </w:r>
      <w:r>
        <w:rPr>
          <w:rFonts w:ascii="宋体" w:hAnsi="宋体"/>
          <w:b/>
          <w:szCs w:val="21"/>
        </w:rPr>
        <w:t>投标费用</w:t>
      </w:r>
      <w:r>
        <w:rPr>
          <w:rFonts w:hint="eastAsia" w:ascii="宋体" w:hAnsi="宋体"/>
          <w:b/>
          <w:szCs w:val="21"/>
        </w:rPr>
        <w:t>：</w:t>
      </w:r>
    </w:p>
    <w:p w14:paraId="4CF105BF">
      <w:pPr>
        <w:spacing w:line="400" w:lineRule="exact"/>
        <w:jc w:val="left"/>
        <w:rPr>
          <w:rFonts w:ascii="宋体" w:hAnsi="宋体"/>
          <w:szCs w:val="21"/>
        </w:rPr>
      </w:pPr>
      <w:r>
        <w:rPr>
          <w:rFonts w:hint="eastAsia" w:ascii="宋体" w:hAnsi="宋体"/>
          <w:szCs w:val="21"/>
        </w:rPr>
        <w:t>1、</w:t>
      </w:r>
      <w:r>
        <w:rPr>
          <w:rFonts w:ascii="宋体" w:hAnsi="宋体"/>
          <w:szCs w:val="21"/>
        </w:rPr>
        <w:t>投标人应承担</w:t>
      </w:r>
      <w:r>
        <w:rPr>
          <w:rFonts w:hint="eastAsia" w:ascii="宋体" w:hAnsi="宋体"/>
          <w:szCs w:val="21"/>
        </w:rPr>
        <w:t>其准备</w:t>
      </w:r>
      <w:r>
        <w:rPr>
          <w:rFonts w:ascii="宋体" w:hAnsi="宋体"/>
          <w:szCs w:val="21"/>
        </w:rPr>
        <w:t>与递交投标文件</w:t>
      </w:r>
      <w:r>
        <w:rPr>
          <w:rFonts w:hint="eastAsia" w:ascii="宋体" w:hAnsi="宋体"/>
          <w:szCs w:val="21"/>
        </w:rPr>
        <w:t>所涉及</w:t>
      </w:r>
      <w:r>
        <w:rPr>
          <w:rFonts w:ascii="宋体" w:hAnsi="宋体"/>
          <w:szCs w:val="21"/>
        </w:rPr>
        <w:t>的一切费用，</w:t>
      </w:r>
      <w:r>
        <w:rPr>
          <w:rFonts w:hint="eastAsia" w:ascii="宋体" w:hAnsi="宋体"/>
          <w:szCs w:val="21"/>
        </w:rPr>
        <w:t>不管</w:t>
      </w:r>
      <w:r>
        <w:rPr>
          <w:rFonts w:ascii="宋体" w:hAnsi="宋体"/>
          <w:szCs w:val="21"/>
        </w:rPr>
        <w:t>投标结果如何，</w:t>
      </w:r>
      <w:r>
        <w:rPr>
          <w:rFonts w:hint="eastAsia" w:ascii="宋体" w:hAnsi="宋体"/>
          <w:szCs w:val="21"/>
        </w:rPr>
        <w:t>邀标人</w:t>
      </w:r>
      <w:r>
        <w:rPr>
          <w:rFonts w:ascii="宋体" w:hAnsi="宋体"/>
          <w:szCs w:val="21"/>
        </w:rPr>
        <w:t>对上述</w:t>
      </w:r>
      <w:r>
        <w:rPr>
          <w:rFonts w:hint="eastAsia" w:ascii="宋体" w:hAnsi="宋体"/>
          <w:szCs w:val="21"/>
        </w:rPr>
        <w:t>费用</w:t>
      </w:r>
      <w:r>
        <w:rPr>
          <w:rFonts w:ascii="宋体" w:hAnsi="宋体"/>
          <w:szCs w:val="21"/>
        </w:rPr>
        <w:t>不负任何责任。</w:t>
      </w:r>
    </w:p>
    <w:p w14:paraId="7123ABC0">
      <w:pPr>
        <w:spacing w:line="400" w:lineRule="exact"/>
        <w:jc w:val="left"/>
        <w:rPr>
          <w:rFonts w:ascii="宋体" w:hAnsi="宋体"/>
          <w:b/>
          <w:szCs w:val="21"/>
        </w:rPr>
      </w:pPr>
      <w:r>
        <w:rPr>
          <w:rFonts w:hint="eastAsia" w:ascii="宋体" w:hAnsi="宋体"/>
          <w:szCs w:val="21"/>
        </w:rPr>
        <w:t>2、招投标</w:t>
      </w:r>
      <w:r>
        <w:rPr>
          <w:rFonts w:ascii="宋体" w:hAnsi="宋体"/>
          <w:szCs w:val="21"/>
        </w:rPr>
        <w:t>过程中</w:t>
      </w:r>
      <w:r>
        <w:rPr>
          <w:rFonts w:hint="eastAsia" w:ascii="宋体" w:hAnsi="宋体"/>
          <w:szCs w:val="21"/>
        </w:rPr>
        <w:t>邀标</w:t>
      </w:r>
      <w:r>
        <w:rPr>
          <w:rFonts w:ascii="宋体" w:hAnsi="宋体"/>
          <w:szCs w:val="21"/>
        </w:rPr>
        <w:t>人要求投标人</w:t>
      </w:r>
      <w:r>
        <w:rPr>
          <w:rFonts w:hint="eastAsia" w:ascii="宋体" w:hAnsi="宋体"/>
          <w:szCs w:val="21"/>
        </w:rPr>
        <w:t>提供</w:t>
      </w:r>
      <w:r>
        <w:rPr>
          <w:rFonts w:ascii="宋体" w:hAnsi="宋体"/>
          <w:szCs w:val="21"/>
        </w:rPr>
        <w:t>样品的，</w:t>
      </w:r>
      <w:r>
        <w:rPr>
          <w:rFonts w:hint="eastAsia" w:ascii="宋体" w:hAnsi="宋体"/>
          <w:szCs w:val="21"/>
        </w:rPr>
        <w:t>无论</w:t>
      </w:r>
      <w:r>
        <w:rPr>
          <w:rFonts w:ascii="宋体" w:hAnsi="宋体"/>
          <w:szCs w:val="21"/>
        </w:rPr>
        <w:t>中标与否</w:t>
      </w:r>
      <w:r>
        <w:rPr>
          <w:rFonts w:hint="eastAsia" w:ascii="宋体" w:hAnsi="宋体"/>
          <w:szCs w:val="21"/>
        </w:rPr>
        <w:t>样品</w:t>
      </w:r>
      <w:r>
        <w:rPr>
          <w:rFonts w:ascii="宋体" w:hAnsi="宋体"/>
          <w:szCs w:val="21"/>
        </w:rPr>
        <w:t>费用均由投标人</w:t>
      </w:r>
      <w:r>
        <w:rPr>
          <w:rFonts w:hint="eastAsia" w:ascii="宋体" w:hAnsi="宋体"/>
          <w:szCs w:val="21"/>
        </w:rPr>
        <w:t>自行</w:t>
      </w:r>
      <w:r>
        <w:rPr>
          <w:rFonts w:ascii="宋体" w:hAnsi="宋体"/>
          <w:szCs w:val="21"/>
        </w:rPr>
        <w:t>承担</w:t>
      </w:r>
      <w:r>
        <w:rPr>
          <w:rFonts w:hint="eastAsia" w:ascii="宋体" w:hAnsi="宋体"/>
          <w:szCs w:val="21"/>
        </w:rPr>
        <w:t>。</w:t>
      </w:r>
    </w:p>
    <w:p w14:paraId="2FA6B63F">
      <w:pPr>
        <w:spacing w:line="400" w:lineRule="exact"/>
        <w:rPr>
          <w:rFonts w:ascii="宋体" w:hAnsi="宋体"/>
          <w:b/>
          <w:szCs w:val="21"/>
        </w:rPr>
      </w:pPr>
      <w:r>
        <w:rPr>
          <w:rFonts w:hint="eastAsia" w:ascii="宋体" w:hAnsi="宋体"/>
          <w:b/>
          <w:szCs w:val="21"/>
        </w:rPr>
        <w:t>（三）其他：</w:t>
      </w:r>
    </w:p>
    <w:p w14:paraId="2FB36229">
      <w:pPr>
        <w:spacing w:line="400" w:lineRule="exact"/>
        <w:rPr>
          <w:rFonts w:ascii="宋体" w:hAnsi="宋体"/>
          <w:szCs w:val="21"/>
        </w:rPr>
      </w:pPr>
      <w:r>
        <w:rPr>
          <w:rFonts w:hint="eastAsia" w:ascii="宋体" w:hAnsi="宋体"/>
          <w:szCs w:val="21"/>
        </w:rPr>
        <w:t>1、投标人应仔细阅读邀标文件全部内容。若投标人未按邀标文件要求提供投标文件和资料，可能导致无效投标文件。</w:t>
      </w:r>
    </w:p>
    <w:p w14:paraId="1A9C6536">
      <w:pPr>
        <w:spacing w:line="400" w:lineRule="exact"/>
        <w:rPr>
          <w:rFonts w:ascii="宋体" w:hAnsi="宋体"/>
          <w:szCs w:val="21"/>
        </w:rPr>
      </w:pPr>
      <w:r>
        <w:rPr>
          <w:rFonts w:hint="eastAsia" w:ascii="宋体" w:hAnsi="宋体"/>
          <w:szCs w:val="21"/>
        </w:rPr>
        <w:t>2、投标人应对投标内容所涉及的一切专利承担责任，一切由于文字、商标和技术专利等侵权引起的法律裁决、诉讼等费用均由投标方承担，与邀标人无关。</w:t>
      </w:r>
    </w:p>
    <w:p w14:paraId="5A6E0921">
      <w:pPr>
        <w:spacing w:line="400" w:lineRule="exact"/>
        <w:rPr>
          <w:rFonts w:ascii="宋体" w:hAnsi="宋体"/>
          <w:szCs w:val="21"/>
        </w:rPr>
      </w:pPr>
      <w:r>
        <w:rPr>
          <w:rFonts w:hint="eastAsia" w:ascii="宋体" w:hAnsi="宋体"/>
          <w:szCs w:val="21"/>
        </w:rPr>
        <w:t>3、邀标人有权对投标人的投标文件</w:t>
      </w:r>
      <w:r>
        <w:rPr>
          <w:rFonts w:ascii="宋体" w:hAnsi="宋体"/>
          <w:szCs w:val="21"/>
        </w:rPr>
        <w:t>相关资料和样品</w:t>
      </w:r>
      <w:r>
        <w:rPr>
          <w:rFonts w:hint="eastAsia" w:ascii="宋体" w:hAnsi="宋体"/>
          <w:szCs w:val="21"/>
        </w:rPr>
        <w:t>进行处理。</w:t>
      </w:r>
    </w:p>
    <w:p w14:paraId="5DA2D028">
      <w:pPr>
        <w:spacing w:line="400" w:lineRule="exact"/>
        <w:rPr>
          <w:rFonts w:ascii="宋体" w:hAnsi="宋体"/>
          <w:szCs w:val="21"/>
        </w:rPr>
      </w:pPr>
      <w:r>
        <w:rPr>
          <w:rFonts w:hint="eastAsia" w:ascii="宋体" w:hAnsi="宋体"/>
          <w:szCs w:val="21"/>
        </w:rPr>
        <w:t>4、各投标人应本着实事求是、认真负责的原则计算投标报价。对投标文件提供一切资料的真实性、准确性负责，否则，应承担因此导致一切经济损失及法律责任。</w:t>
      </w:r>
    </w:p>
    <w:p w14:paraId="6793F324">
      <w:pPr>
        <w:spacing w:line="400" w:lineRule="exact"/>
        <w:rPr>
          <w:rFonts w:ascii="宋体" w:hAnsi="宋体"/>
          <w:szCs w:val="21"/>
        </w:rPr>
      </w:pPr>
      <w:r>
        <w:rPr>
          <w:rFonts w:hint="eastAsia" w:ascii="宋体" w:hAnsi="宋体"/>
          <w:szCs w:val="21"/>
        </w:rPr>
        <w:t>5、投标人一旦投标后，若在投标文件中未做特别注明事项，邀标人将视为投标人认同邀标文件中的全部内容，并按此邀标文件中所提出的内容及要求制定的投标文件。</w:t>
      </w:r>
    </w:p>
    <w:p w14:paraId="11CA94F4">
      <w:pPr>
        <w:spacing w:line="400" w:lineRule="exact"/>
        <w:rPr>
          <w:rFonts w:ascii="宋体" w:hAnsi="宋体"/>
          <w:szCs w:val="21"/>
        </w:rPr>
      </w:pPr>
      <w:r>
        <w:rPr>
          <w:rFonts w:hint="eastAsia" w:ascii="宋体" w:hAnsi="宋体"/>
          <w:szCs w:val="21"/>
        </w:rPr>
        <w:t>6、招、投标</w:t>
      </w:r>
      <w:r>
        <w:rPr>
          <w:rFonts w:ascii="宋体" w:hAnsi="宋体"/>
          <w:szCs w:val="21"/>
        </w:rPr>
        <w:t>人</w:t>
      </w:r>
      <w:r>
        <w:rPr>
          <w:rFonts w:hint="eastAsia" w:ascii="宋体" w:hAnsi="宋体"/>
          <w:szCs w:val="21"/>
        </w:rPr>
        <w:t>双方共同承认的邀标文件、投标文件及评标过程中形成的书面文件均作为签订合同的依据。</w:t>
      </w:r>
    </w:p>
    <w:p w14:paraId="4F9942EE">
      <w:pPr>
        <w:spacing w:line="400" w:lineRule="exact"/>
        <w:rPr>
          <w:rFonts w:ascii="宋体" w:hAnsi="宋体"/>
          <w:b/>
          <w:sz w:val="24"/>
          <w:szCs w:val="24"/>
        </w:rPr>
      </w:pPr>
      <w:r>
        <w:rPr>
          <w:rFonts w:hint="eastAsia" w:ascii="宋体" w:hAnsi="宋体"/>
          <w:b/>
          <w:sz w:val="24"/>
          <w:szCs w:val="24"/>
        </w:rPr>
        <w:t>二、邀标文件组成及澄清与修改</w:t>
      </w:r>
    </w:p>
    <w:p w14:paraId="7D2C9CE9">
      <w:pPr>
        <w:spacing w:line="400" w:lineRule="exact"/>
        <w:rPr>
          <w:rFonts w:ascii="宋体" w:hAnsi="宋体"/>
          <w:szCs w:val="21"/>
        </w:rPr>
      </w:pPr>
      <w:r>
        <w:rPr>
          <w:rFonts w:hint="eastAsia" w:ascii="宋体" w:hAnsi="宋体"/>
          <w:b/>
          <w:szCs w:val="21"/>
        </w:rPr>
        <w:t>（一）邀标</w:t>
      </w:r>
      <w:r>
        <w:rPr>
          <w:rFonts w:ascii="宋体" w:hAnsi="宋体"/>
          <w:b/>
          <w:szCs w:val="21"/>
        </w:rPr>
        <w:t>文件组成：</w:t>
      </w:r>
      <w:r>
        <w:rPr>
          <w:rFonts w:hint="eastAsia"/>
          <w:szCs w:val="21"/>
        </w:rPr>
        <w:t>本邀标文件包括下列内容和按本投标须知规定发出的书面答复和补充通知，</w:t>
      </w:r>
      <w:r>
        <w:rPr>
          <w:rFonts w:hint="eastAsia" w:ascii="宋体" w:hAnsi="宋体"/>
          <w:szCs w:val="21"/>
        </w:rPr>
        <w:t>投标人应仔细阅读邀标文件各个</w:t>
      </w:r>
      <w:r>
        <w:rPr>
          <w:rFonts w:ascii="宋体" w:hAnsi="宋体"/>
          <w:szCs w:val="21"/>
        </w:rPr>
        <w:t>组成部分</w:t>
      </w:r>
      <w:r>
        <w:rPr>
          <w:rFonts w:hint="eastAsia" w:ascii="宋体" w:hAnsi="宋体"/>
          <w:szCs w:val="21"/>
        </w:rPr>
        <w:t>，充分</w:t>
      </w:r>
      <w:r>
        <w:rPr>
          <w:rFonts w:ascii="宋体" w:hAnsi="宋体"/>
          <w:szCs w:val="21"/>
        </w:rPr>
        <w:t>了解本</w:t>
      </w:r>
      <w:r>
        <w:rPr>
          <w:rFonts w:hint="eastAsia" w:ascii="宋体" w:hAnsi="宋体"/>
          <w:szCs w:val="21"/>
        </w:rPr>
        <w:t>邀标</w:t>
      </w:r>
      <w:r>
        <w:rPr>
          <w:rFonts w:ascii="宋体" w:hAnsi="宋体"/>
          <w:szCs w:val="21"/>
        </w:rPr>
        <w:t>文件</w:t>
      </w:r>
      <w:r>
        <w:rPr>
          <w:rFonts w:hint="eastAsia" w:ascii="宋体" w:hAnsi="宋体"/>
          <w:szCs w:val="21"/>
        </w:rPr>
        <w:t>中</w:t>
      </w:r>
      <w:r>
        <w:rPr>
          <w:rFonts w:ascii="宋体" w:hAnsi="宋体"/>
          <w:szCs w:val="21"/>
        </w:rPr>
        <w:t>各项</w:t>
      </w:r>
      <w:r>
        <w:rPr>
          <w:rFonts w:hint="eastAsia" w:ascii="宋体" w:hAnsi="宋体"/>
          <w:szCs w:val="21"/>
        </w:rPr>
        <w:t>规定和投标人一旦</w:t>
      </w:r>
      <w:r>
        <w:rPr>
          <w:rFonts w:ascii="宋体" w:hAnsi="宋体"/>
          <w:szCs w:val="21"/>
        </w:rPr>
        <w:t>中标后需承担的合同义务和责任</w:t>
      </w:r>
      <w:r>
        <w:rPr>
          <w:rFonts w:hint="eastAsia" w:ascii="宋体" w:hAnsi="宋体"/>
          <w:szCs w:val="21"/>
        </w:rPr>
        <w:t>；如果投标文件与邀标文件的规定和要求不符合，则投标人应自行负责。</w:t>
      </w:r>
    </w:p>
    <w:p w14:paraId="7DB30A46">
      <w:pPr>
        <w:spacing w:line="400" w:lineRule="exact"/>
        <w:rPr>
          <w:rFonts w:ascii="宋体" w:hAnsi="宋体"/>
          <w:szCs w:val="21"/>
        </w:rPr>
      </w:pPr>
      <w:r>
        <w:rPr>
          <w:rFonts w:hint="eastAsia" w:ascii="宋体" w:hAnsi="宋体"/>
          <w:szCs w:val="21"/>
        </w:rPr>
        <w:t>1、邀标说明。</w:t>
      </w:r>
    </w:p>
    <w:p w14:paraId="19F16923">
      <w:pPr>
        <w:spacing w:line="400" w:lineRule="exact"/>
        <w:rPr>
          <w:rFonts w:ascii="宋体" w:hAnsi="宋体"/>
          <w:szCs w:val="21"/>
        </w:rPr>
      </w:pPr>
      <w:r>
        <w:rPr>
          <w:rFonts w:hint="eastAsia" w:ascii="宋体" w:hAnsi="宋体"/>
          <w:szCs w:val="21"/>
        </w:rPr>
        <w:t>2、投标人须知。</w:t>
      </w:r>
    </w:p>
    <w:p w14:paraId="261FDC8E">
      <w:pPr>
        <w:spacing w:line="400" w:lineRule="exact"/>
        <w:rPr>
          <w:rFonts w:ascii="宋体" w:hAnsi="宋体"/>
          <w:szCs w:val="21"/>
        </w:rPr>
      </w:pPr>
      <w:r>
        <w:rPr>
          <w:rFonts w:hint="eastAsia" w:ascii="宋体" w:hAnsi="宋体"/>
          <w:szCs w:val="21"/>
        </w:rPr>
        <w:t>3、合同条款。</w:t>
      </w:r>
    </w:p>
    <w:p w14:paraId="3E3F8DF7">
      <w:pPr>
        <w:spacing w:line="400" w:lineRule="exact"/>
        <w:rPr>
          <w:rFonts w:ascii="宋体" w:hAnsi="宋体"/>
          <w:szCs w:val="21"/>
        </w:rPr>
      </w:pPr>
      <w:r>
        <w:rPr>
          <w:rFonts w:hint="eastAsia" w:ascii="宋体" w:hAnsi="宋体"/>
          <w:szCs w:val="21"/>
        </w:rPr>
        <w:t>4、投标文件范本。</w:t>
      </w:r>
    </w:p>
    <w:p w14:paraId="357D66DF">
      <w:pPr>
        <w:spacing w:line="400" w:lineRule="exact"/>
        <w:rPr>
          <w:rFonts w:ascii="宋体" w:hAnsi="宋体"/>
          <w:b/>
          <w:szCs w:val="21"/>
        </w:rPr>
      </w:pPr>
      <w:r>
        <w:rPr>
          <w:rFonts w:hint="eastAsia" w:ascii="宋体" w:hAnsi="宋体"/>
          <w:b/>
          <w:szCs w:val="21"/>
        </w:rPr>
        <w:t>（二）邀标文件的澄清与修改</w:t>
      </w:r>
    </w:p>
    <w:p w14:paraId="2442EA43">
      <w:pPr>
        <w:spacing w:line="400" w:lineRule="exact"/>
        <w:rPr>
          <w:rFonts w:ascii="宋体" w:hAnsi="宋体"/>
          <w:szCs w:val="21"/>
        </w:rPr>
      </w:pPr>
      <w:r>
        <w:rPr>
          <w:rFonts w:hint="eastAsia" w:ascii="宋体" w:hAnsi="宋体"/>
          <w:szCs w:val="21"/>
        </w:rPr>
        <w:t>1）投标截止时间前邀标人发出的对邀标文件的澄清、修改、补充通知内容，均为邀标文件的组成部分，对邀标人和投标人起约束作用。</w:t>
      </w:r>
    </w:p>
    <w:p w14:paraId="16F0A8C7">
      <w:pPr>
        <w:spacing w:line="400" w:lineRule="exact"/>
        <w:rPr>
          <w:rFonts w:ascii="宋体" w:hAnsi="宋体"/>
          <w:szCs w:val="21"/>
        </w:rPr>
      </w:pPr>
      <w:r>
        <w:rPr>
          <w:rFonts w:hint="eastAsia" w:ascii="宋体" w:hAnsi="宋体"/>
          <w:szCs w:val="21"/>
        </w:rPr>
        <w:t>2）投标人获取邀标文件后，应仔细检查邀标文件的所有内容，如有残缺等问题应在获得邀标文件 1 日内向邀标人提出，否则，由此引起的损失由投标人自行承担。</w:t>
      </w:r>
    </w:p>
    <w:p w14:paraId="0DB015F5">
      <w:pPr>
        <w:spacing w:line="400" w:lineRule="exact"/>
        <w:jc w:val="left"/>
        <w:rPr>
          <w:rFonts w:ascii="宋体" w:hAnsi="宋体"/>
          <w:szCs w:val="21"/>
        </w:rPr>
      </w:pPr>
      <w:r>
        <w:rPr>
          <w:rFonts w:hint="eastAsia" w:ascii="宋体" w:hAnsi="宋体"/>
          <w:szCs w:val="21"/>
        </w:rPr>
        <w:t>3）邀标人应于收到邀标文件后的</w:t>
      </w:r>
      <w:r>
        <w:rPr>
          <w:rFonts w:hint="eastAsia" w:ascii="宋体" w:hAnsi="宋体"/>
          <w:szCs w:val="21"/>
          <w:u w:val="single"/>
        </w:rPr>
        <w:t xml:space="preserve">  2  </w:t>
      </w:r>
      <w:r>
        <w:rPr>
          <w:rFonts w:hint="eastAsia" w:ascii="宋体" w:hAnsi="宋体"/>
          <w:szCs w:val="21"/>
        </w:rPr>
        <w:t>个日历天内，若有疑问请以书面或电子邮件的形式递交到本邀标邮箱，邀标人将统一回复。邀标答疑后由邀标人统计整理答疑文件，以电子</w:t>
      </w:r>
      <w:r>
        <w:rPr>
          <w:rFonts w:ascii="宋体" w:hAnsi="宋体"/>
          <w:szCs w:val="21"/>
        </w:rPr>
        <w:t>邮件</w:t>
      </w:r>
      <w:r>
        <w:rPr>
          <w:rFonts w:hint="eastAsia" w:ascii="宋体" w:hAnsi="宋体"/>
          <w:szCs w:val="21"/>
        </w:rPr>
        <w:t>或书面形式转发与各投标人，答疑文件为邀标文件的组成部分，与投标文件具有同等效力。</w:t>
      </w:r>
    </w:p>
    <w:p w14:paraId="40CFC3C1">
      <w:pPr>
        <w:spacing w:line="400" w:lineRule="exact"/>
        <w:rPr>
          <w:rFonts w:ascii="宋体" w:hAnsi="宋体"/>
          <w:szCs w:val="21"/>
        </w:rPr>
      </w:pPr>
      <w:r>
        <w:rPr>
          <w:rFonts w:ascii="宋体" w:hAnsi="宋体"/>
          <w:szCs w:val="21"/>
        </w:rPr>
        <w:t>4</w:t>
      </w:r>
      <w:r>
        <w:rPr>
          <w:rFonts w:hint="eastAsia" w:ascii="宋体" w:hAnsi="宋体"/>
          <w:szCs w:val="21"/>
        </w:rPr>
        <w:t>）邀标文件发出后，在提交投标文件截止时间前，邀标单位可对邀标文件进行必要的修改和补充，并做为邀标文件的组成部分，具有约束作用。当邀标</w:t>
      </w:r>
      <w:r>
        <w:rPr>
          <w:rFonts w:ascii="宋体" w:hAnsi="宋体"/>
          <w:szCs w:val="21"/>
        </w:rPr>
        <w:t>文件、</w:t>
      </w:r>
      <w:r>
        <w:rPr>
          <w:rFonts w:hint="eastAsia" w:ascii="宋体" w:hAnsi="宋体"/>
          <w:szCs w:val="21"/>
        </w:rPr>
        <w:t>邀标文件</w:t>
      </w:r>
      <w:r>
        <w:rPr>
          <w:rFonts w:ascii="宋体" w:hAnsi="宋体"/>
          <w:szCs w:val="21"/>
        </w:rPr>
        <w:t>的澄清</w:t>
      </w:r>
      <w:r>
        <w:rPr>
          <w:rFonts w:hint="eastAsia" w:ascii="宋体" w:hAnsi="宋体"/>
          <w:szCs w:val="21"/>
        </w:rPr>
        <w:t>、</w:t>
      </w:r>
      <w:r>
        <w:rPr>
          <w:rFonts w:ascii="宋体" w:hAnsi="宋体"/>
          <w:szCs w:val="21"/>
        </w:rPr>
        <w:t>修改、补充等</w:t>
      </w:r>
      <w:r>
        <w:rPr>
          <w:rFonts w:hint="eastAsia" w:ascii="宋体" w:hAnsi="宋体"/>
          <w:szCs w:val="21"/>
        </w:rPr>
        <w:t>在同一内容</w:t>
      </w:r>
      <w:r>
        <w:rPr>
          <w:rFonts w:ascii="宋体" w:hAnsi="宋体"/>
          <w:szCs w:val="21"/>
        </w:rPr>
        <w:t>的表述上</w:t>
      </w:r>
      <w:r>
        <w:rPr>
          <w:rFonts w:hint="eastAsia" w:ascii="宋体" w:hAnsi="宋体"/>
          <w:szCs w:val="21"/>
        </w:rPr>
        <w:t>不一致时</w:t>
      </w:r>
      <w:r>
        <w:rPr>
          <w:rFonts w:ascii="宋体" w:hAnsi="宋体"/>
          <w:szCs w:val="21"/>
        </w:rPr>
        <w:t>，</w:t>
      </w:r>
      <w:r>
        <w:rPr>
          <w:rFonts w:hint="eastAsia" w:ascii="宋体" w:hAnsi="宋体"/>
          <w:szCs w:val="21"/>
        </w:rPr>
        <w:t>以最后</w:t>
      </w:r>
      <w:r>
        <w:rPr>
          <w:rFonts w:ascii="宋体" w:hAnsi="宋体"/>
          <w:szCs w:val="21"/>
        </w:rPr>
        <w:t>发出的书面文件为准。</w:t>
      </w:r>
    </w:p>
    <w:p w14:paraId="4962EC6D">
      <w:pPr>
        <w:spacing w:line="400" w:lineRule="exact"/>
        <w:rPr>
          <w:rFonts w:ascii="宋体" w:hAnsi="宋体"/>
          <w:b/>
          <w:sz w:val="24"/>
          <w:szCs w:val="24"/>
        </w:rPr>
      </w:pPr>
      <w:r>
        <w:rPr>
          <w:rFonts w:hint="eastAsia" w:ascii="宋体" w:hAnsi="宋体"/>
          <w:b/>
          <w:sz w:val="24"/>
          <w:szCs w:val="24"/>
        </w:rPr>
        <w:t>三、投标文件编制要求</w:t>
      </w:r>
    </w:p>
    <w:p w14:paraId="507F8E22">
      <w:pPr>
        <w:spacing w:line="400" w:lineRule="exact"/>
        <w:rPr>
          <w:rFonts w:ascii="宋体" w:hAnsi="宋体"/>
          <w:szCs w:val="21"/>
        </w:rPr>
      </w:pPr>
      <w:r>
        <w:rPr>
          <w:rFonts w:hint="eastAsia" w:ascii="宋体" w:hAnsi="宋体"/>
          <w:b/>
          <w:szCs w:val="21"/>
        </w:rPr>
        <w:t>（一）</w:t>
      </w:r>
      <w:r>
        <w:rPr>
          <w:rFonts w:ascii="宋体" w:hAnsi="宋体"/>
          <w:b/>
          <w:szCs w:val="21"/>
        </w:rPr>
        <w:t>投标文件</w:t>
      </w:r>
      <w:r>
        <w:rPr>
          <w:rFonts w:hint="eastAsia" w:ascii="宋体" w:hAnsi="宋体"/>
          <w:b/>
          <w:szCs w:val="21"/>
        </w:rPr>
        <w:t>组成：</w:t>
      </w:r>
      <w:r>
        <w:rPr>
          <w:rFonts w:ascii="宋体" w:hAnsi="宋体"/>
          <w:szCs w:val="21"/>
        </w:rPr>
        <w:t>由</w:t>
      </w:r>
      <w:r>
        <w:rPr>
          <w:rFonts w:hint="eastAsia"/>
          <w:b/>
          <w:bCs/>
          <w:szCs w:val="21"/>
        </w:rPr>
        <w:t>商务标</w:t>
      </w:r>
      <w:r>
        <w:rPr>
          <w:rFonts w:hint="eastAsia"/>
          <w:bCs/>
          <w:szCs w:val="21"/>
        </w:rPr>
        <w:t>、</w:t>
      </w:r>
      <w:r>
        <w:rPr>
          <w:rFonts w:hint="eastAsia"/>
          <w:b/>
          <w:bCs/>
          <w:szCs w:val="21"/>
        </w:rPr>
        <w:t>技术标（包含资格审查文件）二</w:t>
      </w:r>
      <w:r>
        <w:rPr>
          <w:rFonts w:hint="eastAsia"/>
          <w:bCs/>
          <w:szCs w:val="21"/>
        </w:rPr>
        <w:t>部分组成，其中要求包括下列内容：</w:t>
      </w:r>
    </w:p>
    <w:p w14:paraId="3948F9D2">
      <w:pPr>
        <w:spacing w:line="400" w:lineRule="exact"/>
        <w:rPr>
          <w:rFonts w:ascii="宋体" w:hAnsi="宋体"/>
          <w:szCs w:val="21"/>
        </w:rPr>
      </w:pPr>
      <w:r>
        <w:rPr>
          <w:rFonts w:hint="eastAsia" w:ascii="宋体" w:hAnsi="宋体"/>
          <w:b/>
          <w:szCs w:val="21"/>
        </w:rPr>
        <w:t>1、</w:t>
      </w:r>
      <w:r>
        <w:rPr>
          <w:rFonts w:hint="eastAsia"/>
          <w:b/>
          <w:bCs/>
          <w:szCs w:val="21"/>
        </w:rPr>
        <w:t>商务标：</w:t>
      </w:r>
      <w:r>
        <w:rPr>
          <w:rFonts w:hint="eastAsia"/>
          <w:bCs/>
          <w:szCs w:val="21"/>
        </w:rPr>
        <w:t>必须包含以下文件，要求按本邀标文件要注的投标文件格式范本（第四章）提交。</w:t>
      </w:r>
    </w:p>
    <w:p w14:paraId="0EE09143">
      <w:pPr>
        <w:spacing w:line="400" w:lineRule="exact"/>
        <w:rPr>
          <w:bCs/>
          <w:szCs w:val="21"/>
        </w:rPr>
      </w:pPr>
      <w:r>
        <w:rPr>
          <w:rFonts w:hint="eastAsia"/>
          <w:bCs/>
          <w:szCs w:val="21"/>
        </w:rPr>
        <w:t>1）投标函。</w:t>
      </w:r>
    </w:p>
    <w:p w14:paraId="2B3FFCE2">
      <w:pPr>
        <w:spacing w:line="400" w:lineRule="exact"/>
        <w:rPr>
          <w:bCs/>
          <w:szCs w:val="21"/>
        </w:rPr>
      </w:pPr>
      <w:r>
        <w:rPr>
          <w:rFonts w:hint="eastAsia"/>
          <w:bCs/>
          <w:szCs w:val="21"/>
        </w:rPr>
        <w:t>2）法定代表人身份证明或附有法定代表人身份证明的授权委托书。</w:t>
      </w:r>
    </w:p>
    <w:p w14:paraId="595998B1">
      <w:pPr>
        <w:spacing w:line="400" w:lineRule="exact"/>
        <w:rPr>
          <w:bCs/>
          <w:szCs w:val="21"/>
        </w:rPr>
      </w:pPr>
      <w:r>
        <w:rPr>
          <w:rFonts w:hint="eastAsia"/>
          <w:bCs/>
          <w:szCs w:val="21"/>
        </w:rPr>
        <w:t>3）报价资料。</w:t>
      </w:r>
    </w:p>
    <w:p w14:paraId="6A03EF7A">
      <w:pPr>
        <w:spacing w:line="400" w:lineRule="exact"/>
        <w:rPr>
          <w:bCs/>
          <w:szCs w:val="21"/>
        </w:rPr>
      </w:pPr>
      <w:r>
        <w:rPr>
          <w:b/>
          <w:bCs/>
          <w:szCs w:val="21"/>
        </w:rPr>
        <w:t>2</w:t>
      </w:r>
      <w:r>
        <w:rPr>
          <w:rFonts w:hint="eastAsia"/>
          <w:b/>
          <w:bCs/>
          <w:szCs w:val="21"/>
        </w:rPr>
        <w:t>、技术标：</w:t>
      </w:r>
      <w:r>
        <w:rPr>
          <w:rFonts w:hint="eastAsia" w:ascii="宋体" w:hAnsi="宋体"/>
          <w:szCs w:val="21"/>
        </w:rPr>
        <w:t>包括但不限于以下资料：</w:t>
      </w:r>
    </w:p>
    <w:p w14:paraId="78AC130A">
      <w:pPr>
        <w:spacing w:line="400" w:lineRule="exact"/>
      </w:pPr>
      <w:r>
        <w:rPr>
          <w:rFonts w:hint="eastAsia"/>
        </w:rPr>
        <w:t>1）</w:t>
      </w:r>
      <w:r>
        <w:t>资格审查文件：</w:t>
      </w:r>
      <w:r>
        <w:rPr>
          <w:rFonts w:hint="eastAsia"/>
        </w:rPr>
        <w:t>包括</w:t>
      </w:r>
      <w:r>
        <w:t>企业法人营业执照</w:t>
      </w:r>
      <w:r>
        <w:rPr>
          <w:rFonts w:hint="eastAsia"/>
        </w:rPr>
        <w:t>副本</w:t>
      </w:r>
      <w:r>
        <w:t>复印件</w:t>
      </w:r>
      <w:r>
        <w:rPr>
          <w:rFonts w:hint="eastAsia"/>
        </w:rPr>
        <w:t>、组织机构代码证副本</w:t>
      </w:r>
      <w:r>
        <w:t>复印件</w:t>
      </w:r>
      <w:r>
        <w:rPr>
          <w:rFonts w:hint="eastAsia"/>
        </w:rPr>
        <w:t>、税务登记证副本</w:t>
      </w:r>
      <w:r>
        <w:t>复印件</w:t>
      </w:r>
      <w:r>
        <w:rPr>
          <w:rFonts w:hint="eastAsia"/>
        </w:rPr>
        <w:t>、安全生产</w:t>
      </w:r>
      <w:r>
        <w:t>许可证</w:t>
      </w:r>
      <w:r>
        <w:rPr>
          <w:rFonts w:hint="eastAsia"/>
        </w:rPr>
        <w:t>副本</w:t>
      </w:r>
      <w:r>
        <w:t>复印件</w:t>
      </w:r>
      <w:r>
        <w:rPr>
          <w:rFonts w:hint="eastAsia"/>
        </w:rPr>
        <w:t>、资质证书等必要资格证明文件。</w:t>
      </w:r>
    </w:p>
    <w:p w14:paraId="593CC8C9">
      <w:pPr>
        <w:spacing w:line="400" w:lineRule="exact"/>
        <w:rPr>
          <w:rFonts w:ascii="宋体" w:hAnsi="宋体"/>
          <w:b/>
          <w:szCs w:val="21"/>
        </w:rPr>
      </w:pPr>
      <w:r>
        <w:rPr>
          <w:rFonts w:hint="eastAsia"/>
          <w:b/>
        </w:rPr>
        <w:t>2）施工组织设计</w:t>
      </w:r>
      <w:r>
        <w:rPr>
          <w:rFonts w:hint="eastAsia" w:ascii="宋体" w:hAnsi="宋体"/>
          <w:b/>
          <w:szCs w:val="21"/>
        </w:rPr>
        <w:t>：内容应包括详细的</w:t>
      </w:r>
      <w:r>
        <w:rPr>
          <w:rFonts w:hint="eastAsia" w:ascii="宋体" w:hAnsi="宋体"/>
          <w:b/>
          <w:szCs w:val="21"/>
          <w:lang w:val="en-US" w:eastAsia="zh-CN"/>
        </w:rPr>
        <w:t>供电保障</w:t>
      </w:r>
      <w:r>
        <w:rPr>
          <w:rFonts w:hint="eastAsia" w:ascii="宋体" w:hAnsi="宋体"/>
          <w:b/>
          <w:szCs w:val="21"/>
        </w:rPr>
        <w:t>计划、项目组织机构、人员的投入数量、机具及周辅才的投入数量、保证措施、近二年来的主要业绩等。</w:t>
      </w:r>
    </w:p>
    <w:p w14:paraId="01EBFD19">
      <w:pPr>
        <w:spacing w:line="400" w:lineRule="exact"/>
        <w:rPr>
          <w:rFonts w:ascii="宋体" w:hAnsi="宋体"/>
          <w:szCs w:val="21"/>
        </w:rPr>
      </w:pPr>
      <w:r>
        <w:rPr>
          <w:rFonts w:hint="eastAsia" w:ascii="宋体" w:hAnsi="宋体"/>
          <w:szCs w:val="21"/>
        </w:rPr>
        <w:t>3）投标人认为响应邀标文件应提供的其他资料。</w:t>
      </w:r>
    </w:p>
    <w:p w14:paraId="2BD7CAD6">
      <w:pPr>
        <w:spacing w:line="400" w:lineRule="exact"/>
        <w:rPr>
          <w:rFonts w:ascii="宋体" w:hAnsi="宋体"/>
          <w:b/>
          <w:szCs w:val="21"/>
        </w:rPr>
      </w:pPr>
      <w:r>
        <w:rPr>
          <w:rFonts w:hint="eastAsia" w:ascii="宋体" w:hAnsi="宋体"/>
          <w:b/>
          <w:szCs w:val="21"/>
        </w:rPr>
        <w:t>（二）投标报价要求</w:t>
      </w:r>
    </w:p>
    <w:p w14:paraId="769543AD">
      <w:pPr>
        <w:spacing w:line="400" w:lineRule="exact"/>
        <w:rPr>
          <w:rFonts w:ascii="宋体" w:hAnsi="宋体"/>
          <w:szCs w:val="21"/>
        </w:rPr>
      </w:pPr>
      <w:r>
        <w:rPr>
          <w:rFonts w:hint="eastAsia" w:ascii="宋体" w:hAnsi="宋体"/>
          <w:szCs w:val="21"/>
        </w:rPr>
        <w:t>1、按邀标文件第</w:t>
      </w:r>
      <w:r>
        <w:rPr>
          <w:rFonts w:hint="eastAsia" w:ascii="宋体" w:hAnsi="宋体"/>
          <w:szCs w:val="21"/>
          <w:lang w:val="en-US" w:eastAsia="zh-CN"/>
        </w:rPr>
        <w:t>四</w:t>
      </w:r>
      <w:r>
        <w:rPr>
          <w:rFonts w:hint="eastAsia" w:ascii="宋体" w:hAnsi="宋体"/>
          <w:szCs w:val="21"/>
        </w:rPr>
        <w:t>章</w:t>
      </w:r>
      <w:r>
        <w:rPr>
          <w:rFonts w:hint="eastAsia" w:ascii="宋体" w:hAnsi="宋体"/>
          <w:szCs w:val="21"/>
          <w:lang w:eastAsia="zh-CN"/>
        </w:rPr>
        <w:t>《</w:t>
      </w:r>
      <w:r>
        <w:rPr>
          <w:rFonts w:hint="eastAsia" w:ascii="宋体" w:hAnsi="宋体"/>
          <w:szCs w:val="21"/>
        </w:rPr>
        <w:t>全费用包干单价报价表</w:t>
      </w:r>
      <w:r>
        <w:rPr>
          <w:rFonts w:hint="eastAsia" w:ascii="宋体" w:hAnsi="宋体"/>
          <w:szCs w:val="21"/>
          <w:lang w:eastAsia="zh-CN"/>
        </w:rPr>
        <w:t>》</w:t>
      </w:r>
      <w:r>
        <w:rPr>
          <w:rFonts w:hint="eastAsia" w:ascii="宋体" w:hAnsi="宋体"/>
          <w:szCs w:val="21"/>
        </w:rPr>
        <w:t>中明确的报价方式综合考虑投标报价。</w:t>
      </w:r>
    </w:p>
    <w:p w14:paraId="1DA4006F">
      <w:pPr>
        <w:spacing w:line="400" w:lineRule="exact"/>
        <w:rPr>
          <w:rFonts w:ascii="宋体" w:hAnsi="宋体"/>
        </w:rPr>
      </w:pPr>
      <w:r>
        <w:rPr>
          <w:rFonts w:hint="eastAsia" w:ascii="宋体" w:hAnsi="宋体"/>
          <w:szCs w:val="21"/>
        </w:rPr>
        <w:t>2、</w:t>
      </w:r>
      <w:r>
        <w:rPr>
          <w:rFonts w:hint="eastAsia" w:ascii="宋体" w:hAnsi="宋体" w:cs="宋体"/>
          <w:kern w:val="0"/>
          <w:szCs w:val="18"/>
        </w:rPr>
        <w:t>投标方已充分考虑各类市场风险和国家、行业政策性调整风险系数，已包含全部承包范围及工作内容，包干总价以及全费用包干单价如有漏报视为乙方让利，除甲方出具的书面变更外，合同执行期间，不另行增加任何本工程承包价款范围之外的费用，合同价格也不作任何调整，否则甲方有权拒绝支付合同价款以外的任何费用，此部分费用全部由乙方自行承担。</w:t>
      </w:r>
    </w:p>
    <w:p w14:paraId="20E5D107">
      <w:pPr>
        <w:spacing w:line="400" w:lineRule="exact"/>
        <w:rPr>
          <w:rFonts w:ascii="宋体" w:hAnsi="宋体"/>
          <w:szCs w:val="21"/>
        </w:rPr>
      </w:pPr>
      <w:r>
        <w:rPr>
          <w:rFonts w:hint="eastAsia" w:ascii="宋体" w:hAnsi="宋体"/>
          <w:szCs w:val="21"/>
        </w:rPr>
        <w:t>3、投标方须提供税率为</w:t>
      </w:r>
      <w:r>
        <w:rPr>
          <w:rFonts w:hint="eastAsia" w:ascii="宋体" w:hAnsi="宋体"/>
          <w:szCs w:val="21"/>
          <w:lang w:val="en-US" w:eastAsia="zh-CN"/>
        </w:rPr>
        <w:t>有效</w:t>
      </w:r>
      <w:r>
        <w:rPr>
          <w:rFonts w:hint="eastAsia" w:ascii="宋体" w:hAnsi="宋体"/>
          <w:szCs w:val="21"/>
        </w:rPr>
        <w:t>增值税专用发票。</w:t>
      </w:r>
    </w:p>
    <w:p w14:paraId="09028710">
      <w:pPr>
        <w:snapToGrid w:val="0"/>
        <w:spacing w:line="400" w:lineRule="exact"/>
        <w:jc w:val="left"/>
        <w:rPr>
          <w:rFonts w:ascii="宋体" w:hAnsi="宋体"/>
          <w:szCs w:val="21"/>
        </w:rPr>
      </w:pPr>
      <w:r>
        <w:rPr>
          <w:rFonts w:hint="eastAsia" w:ascii="宋体" w:hAnsi="宋体"/>
          <w:szCs w:val="21"/>
        </w:rPr>
        <w:t>4、质保期不低于</w:t>
      </w:r>
      <w:r>
        <w:rPr>
          <w:rFonts w:hint="eastAsia" w:ascii="宋体" w:hAnsi="宋体"/>
          <w:b/>
          <w:bCs/>
          <w:szCs w:val="21"/>
          <w:u w:val="single"/>
        </w:rPr>
        <w:t xml:space="preserve"> </w:t>
      </w:r>
      <w:r>
        <w:rPr>
          <w:rFonts w:hint="eastAsia" w:ascii="宋体" w:hAnsi="宋体"/>
          <w:b/>
          <w:bCs/>
          <w:szCs w:val="21"/>
          <w:u w:val="single"/>
          <w:lang w:val="en-US" w:eastAsia="zh-CN"/>
        </w:rPr>
        <w:t>2</w:t>
      </w:r>
      <w:r>
        <w:rPr>
          <w:rFonts w:hint="eastAsia" w:ascii="宋体" w:hAnsi="宋体"/>
          <w:szCs w:val="21"/>
        </w:rPr>
        <w:t>年。</w:t>
      </w:r>
    </w:p>
    <w:p w14:paraId="79322A62">
      <w:pPr>
        <w:snapToGrid w:val="0"/>
        <w:spacing w:line="400" w:lineRule="exact"/>
        <w:jc w:val="left"/>
        <w:rPr>
          <w:rFonts w:ascii="宋体" w:hAnsi="宋体"/>
          <w:szCs w:val="21"/>
        </w:rPr>
      </w:pPr>
      <w:r>
        <w:rPr>
          <w:rFonts w:hint="eastAsia" w:ascii="宋体" w:hAnsi="宋体"/>
          <w:szCs w:val="21"/>
        </w:rPr>
        <w:t>5、</w:t>
      </w:r>
      <w:r>
        <w:rPr>
          <w:rFonts w:hint="eastAsia" w:ascii="宋体" w:hAnsi="宋体"/>
          <w:szCs w:val="21"/>
          <w:lang w:val="en-US" w:eastAsia="zh-CN"/>
        </w:rPr>
        <w:t>合同期限：</w:t>
      </w:r>
      <w:r>
        <w:rPr>
          <w:rFonts w:hint="eastAsia" w:ascii="宋体" w:hAnsi="宋体"/>
          <w:b/>
          <w:bCs/>
          <w:szCs w:val="21"/>
          <w:lang w:val="en-US" w:eastAsia="zh-CN"/>
        </w:rPr>
        <w:t>开始</w:t>
      </w:r>
      <w:r>
        <w:rPr>
          <w:rFonts w:hint="eastAsia" w:ascii="宋体" w:hAnsi="宋体"/>
          <w:b/>
          <w:szCs w:val="21"/>
        </w:rPr>
        <w:t>日期</w:t>
      </w:r>
      <w:r>
        <w:rPr>
          <w:rFonts w:hint="eastAsia" w:ascii="宋体" w:hAnsi="宋体"/>
          <w:b/>
          <w:szCs w:val="21"/>
          <w:lang w:val="en-US" w:eastAsia="zh-CN"/>
        </w:rPr>
        <w:t>2025</w:t>
      </w:r>
      <w:r>
        <w:rPr>
          <w:rFonts w:hint="eastAsia" w:ascii="宋体" w:hAnsi="宋体"/>
          <w:b/>
          <w:szCs w:val="21"/>
        </w:rPr>
        <w:t>年</w:t>
      </w:r>
      <w:r>
        <w:rPr>
          <w:rFonts w:hint="eastAsia" w:ascii="宋体" w:hAnsi="宋体"/>
          <w:b/>
          <w:szCs w:val="21"/>
          <w:lang w:val="en-US" w:eastAsia="zh-CN"/>
        </w:rPr>
        <w:t>3</w:t>
      </w:r>
      <w:r>
        <w:rPr>
          <w:rFonts w:hint="eastAsia" w:ascii="宋体" w:hAnsi="宋体"/>
          <w:b/>
          <w:szCs w:val="21"/>
        </w:rPr>
        <w:t>月</w:t>
      </w:r>
      <w:r>
        <w:rPr>
          <w:rFonts w:hint="eastAsia" w:ascii="宋体" w:hAnsi="宋体"/>
          <w:b/>
          <w:szCs w:val="21"/>
          <w:lang w:val="en-US" w:eastAsia="zh-CN"/>
        </w:rPr>
        <w:t>15</w:t>
      </w:r>
      <w:r>
        <w:rPr>
          <w:rFonts w:hint="eastAsia" w:ascii="宋体" w:hAnsi="宋体"/>
          <w:b/>
          <w:szCs w:val="21"/>
        </w:rPr>
        <w:t>日，计划完</w:t>
      </w:r>
      <w:r>
        <w:rPr>
          <w:rFonts w:hint="eastAsia" w:ascii="宋体" w:hAnsi="宋体"/>
          <w:b/>
          <w:szCs w:val="21"/>
          <w:lang w:val="en-US" w:eastAsia="zh-CN"/>
        </w:rPr>
        <w:t>成</w:t>
      </w:r>
      <w:r>
        <w:rPr>
          <w:rFonts w:hint="eastAsia" w:ascii="宋体" w:hAnsi="宋体"/>
          <w:b/>
          <w:szCs w:val="21"/>
        </w:rPr>
        <w:t>日期</w:t>
      </w:r>
      <w:r>
        <w:rPr>
          <w:rFonts w:hint="eastAsia" w:ascii="宋体" w:hAnsi="宋体"/>
          <w:b/>
          <w:szCs w:val="21"/>
          <w:lang w:val="en-US" w:eastAsia="zh-CN"/>
        </w:rPr>
        <w:t>2027</w:t>
      </w:r>
      <w:r>
        <w:rPr>
          <w:rFonts w:hint="eastAsia" w:ascii="宋体" w:hAnsi="宋体"/>
          <w:b/>
          <w:szCs w:val="21"/>
        </w:rPr>
        <w:t>年</w:t>
      </w:r>
      <w:r>
        <w:rPr>
          <w:rFonts w:hint="eastAsia" w:ascii="宋体" w:hAnsi="宋体"/>
          <w:b/>
          <w:szCs w:val="21"/>
          <w:lang w:val="en-US" w:eastAsia="zh-CN"/>
        </w:rPr>
        <w:t>3</w:t>
      </w:r>
      <w:r>
        <w:rPr>
          <w:rFonts w:hint="eastAsia" w:ascii="宋体" w:hAnsi="宋体"/>
          <w:b/>
          <w:szCs w:val="21"/>
        </w:rPr>
        <w:t>月</w:t>
      </w:r>
      <w:r>
        <w:rPr>
          <w:rFonts w:hint="eastAsia" w:ascii="宋体" w:hAnsi="宋体"/>
          <w:b/>
          <w:szCs w:val="21"/>
          <w:lang w:val="en-US" w:eastAsia="zh-CN"/>
        </w:rPr>
        <w:t>14</w:t>
      </w:r>
      <w:r>
        <w:rPr>
          <w:rFonts w:hint="eastAsia" w:ascii="宋体" w:hAnsi="宋体"/>
          <w:b/>
          <w:szCs w:val="21"/>
        </w:rPr>
        <w:t>日。</w:t>
      </w:r>
    </w:p>
    <w:p w14:paraId="0B32507A">
      <w:pPr>
        <w:spacing w:line="400" w:lineRule="exact"/>
        <w:rPr>
          <w:b/>
          <w:bCs/>
          <w:szCs w:val="21"/>
        </w:rPr>
      </w:pPr>
      <w:r>
        <w:rPr>
          <w:rFonts w:hint="eastAsia" w:ascii="宋体" w:hAnsi="宋体"/>
          <w:b/>
          <w:szCs w:val="21"/>
        </w:rPr>
        <w:t>（三）</w:t>
      </w:r>
      <w:r>
        <w:rPr>
          <w:rFonts w:hint="eastAsia"/>
          <w:b/>
          <w:bCs/>
          <w:szCs w:val="21"/>
        </w:rPr>
        <w:t>投标文件有效期</w:t>
      </w:r>
    </w:p>
    <w:p w14:paraId="68AC2FBF">
      <w:pPr>
        <w:spacing w:line="400" w:lineRule="exact"/>
      </w:pPr>
      <w:r>
        <w:t>1</w:t>
      </w:r>
      <w:r>
        <w:rPr>
          <w:rFonts w:hint="eastAsia"/>
        </w:rPr>
        <w:t>、在“投标说明”规定的投标有效期内，投标人不得要求撤销或修改其投标文件。</w:t>
      </w:r>
    </w:p>
    <w:p w14:paraId="41525EBB">
      <w:pPr>
        <w:spacing w:line="400" w:lineRule="exact"/>
      </w:pPr>
      <w:r>
        <w:rPr>
          <w:rFonts w:hint="eastAsia"/>
        </w:rPr>
        <w:t>2、出现特殊情况需要延长投标有效期的，邀标人以书面形式通知所有投标人延长投标有效期。投标人同意延长的，应相应延长其投标保证金的有效期，但不得要求或被允许修改或撤销其投标文件；投标人拒绝延长的，其投标失效。</w:t>
      </w:r>
    </w:p>
    <w:p w14:paraId="25F8E410">
      <w:pPr>
        <w:spacing w:line="400" w:lineRule="exact"/>
        <w:rPr>
          <w:b/>
          <w:bCs/>
          <w:szCs w:val="21"/>
        </w:rPr>
      </w:pPr>
      <w:r>
        <w:rPr>
          <w:rFonts w:hint="eastAsia"/>
          <w:b/>
          <w:bCs/>
          <w:szCs w:val="21"/>
        </w:rPr>
        <w:t>（四）投标文件的编制及</w:t>
      </w:r>
      <w:r>
        <w:rPr>
          <w:b/>
          <w:bCs/>
          <w:szCs w:val="21"/>
        </w:rPr>
        <w:t>密封</w:t>
      </w:r>
      <w:r>
        <w:rPr>
          <w:rFonts w:hint="eastAsia"/>
          <w:b/>
          <w:bCs/>
          <w:szCs w:val="21"/>
        </w:rPr>
        <w:t>要求</w:t>
      </w:r>
    </w:p>
    <w:p w14:paraId="734F975A">
      <w:pPr>
        <w:spacing w:line="400" w:lineRule="exact"/>
        <w:rPr>
          <w:bCs/>
          <w:szCs w:val="21"/>
        </w:rPr>
      </w:pPr>
      <w:r>
        <w:rPr>
          <w:bCs/>
          <w:szCs w:val="21"/>
        </w:rPr>
        <w:t>1</w:t>
      </w:r>
      <w:r>
        <w:rPr>
          <w:rFonts w:hint="eastAsia"/>
          <w:bCs/>
          <w:szCs w:val="21"/>
        </w:rPr>
        <w:t>、投标文件的商务部分与技术部分(包含资格审查)合并装订。</w:t>
      </w:r>
    </w:p>
    <w:p w14:paraId="024068E9">
      <w:pPr>
        <w:spacing w:line="400" w:lineRule="exact"/>
        <w:rPr>
          <w:bCs/>
          <w:szCs w:val="21"/>
        </w:rPr>
      </w:pPr>
      <w:r>
        <w:rPr>
          <w:bCs/>
          <w:szCs w:val="21"/>
        </w:rPr>
        <w:t>2</w:t>
      </w:r>
      <w:r>
        <w:rPr>
          <w:rFonts w:hint="eastAsia"/>
          <w:bCs/>
          <w:szCs w:val="21"/>
        </w:rPr>
        <w:t>、投标文件不得采用活页夹等可随时拆换的方式装订，不得有零散页，并按邀标文件的要求签名或盖章。若同一册的内容较多，可装订成若干分册，并在封面标明次序及册数，</w:t>
      </w:r>
      <w:r>
        <w:rPr>
          <w:rFonts w:hint="eastAsia"/>
          <w:b/>
          <w:bCs/>
          <w:szCs w:val="21"/>
        </w:rPr>
        <w:t>否则按废标处理。</w:t>
      </w:r>
    </w:p>
    <w:p w14:paraId="11BD5206">
      <w:pPr>
        <w:spacing w:line="400" w:lineRule="exact"/>
        <w:rPr>
          <w:bCs/>
          <w:szCs w:val="21"/>
        </w:rPr>
      </w:pPr>
      <w:r>
        <w:rPr>
          <w:bCs/>
          <w:szCs w:val="21"/>
        </w:rPr>
        <w:t>3</w:t>
      </w:r>
      <w:r>
        <w:rPr>
          <w:rFonts w:hint="eastAsia"/>
          <w:bCs/>
          <w:szCs w:val="21"/>
        </w:rPr>
        <w:t>、投标文件正本和副本的封面或扉页应注明“邀标工程名称、正本或副本、投标人全称”，并加盖投标人单位公章和法定代表人或委托代理人印鉴。</w:t>
      </w:r>
    </w:p>
    <w:p w14:paraId="126C9FE4">
      <w:pPr>
        <w:spacing w:line="400" w:lineRule="exact"/>
        <w:rPr>
          <w:b/>
          <w:bCs/>
          <w:szCs w:val="21"/>
        </w:rPr>
      </w:pPr>
      <w:r>
        <w:rPr>
          <w:bCs/>
          <w:szCs w:val="21"/>
        </w:rPr>
        <w:t>4</w:t>
      </w:r>
      <w:r>
        <w:rPr>
          <w:rFonts w:hint="eastAsia"/>
          <w:bCs/>
          <w:szCs w:val="21"/>
        </w:rPr>
        <w:t>、投标文件的密封</w:t>
      </w:r>
      <w:r>
        <w:rPr>
          <w:rFonts w:hint="eastAsia"/>
          <w:b/>
          <w:bCs/>
          <w:szCs w:val="21"/>
        </w:rPr>
        <w:t>：</w:t>
      </w:r>
      <w:r>
        <w:rPr>
          <w:rFonts w:hint="eastAsia"/>
          <w:bCs/>
          <w:szCs w:val="21"/>
        </w:rPr>
        <w:t>投标人应将投标文件装袋密封，在封套上注明</w:t>
      </w:r>
      <w:r>
        <w:rPr>
          <w:rFonts w:hint="eastAsia"/>
          <w:b/>
          <w:bCs/>
          <w:szCs w:val="21"/>
        </w:rPr>
        <w:t>“邀标工程名称、标段（如有）、正本或副本、投标人全称”，并对密封条或密封处加盖投标人单位印鉴和法定代表人或委托代理人印鉴。</w:t>
      </w:r>
    </w:p>
    <w:p w14:paraId="651F7235">
      <w:pPr>
        <w:spacing w:line="400" w:lineRule="exact"/>
        <w:rPr>
          <w:rFonts w:ascii="宋体" w:hAnsi="宋体"/>
          <w:szCs w:val="21"/>
        </w:rPr>
      </w:pPr>
      <w:r>
        <w:rPr>
          <w:rFonts w:ascii="宋体" w:hAnsi="宋体"/>
          <w:szCs w:val="21"/>
        </w:rPr>
        <w:t>5</w:t>
      </w:r>
      <w:r>
        <w:rPr>
          <w:rFonts w:hint="eastAsia" w:ascii="宋体" w:hAnsi="宋体"/>
          <w:szCs w:val="21"/>
        </w:rPr>
        <w:t>、若纸质投标文件正本与副本投标文件不一致时，以纸质投标文件的正本为准。</w:t>
      </w:r>
    </w:p>
    <w:p w14:paraId="1CB9E79B">
      <w:pPr>
        <w:spacing w:line="400" w:lineRule="exact"/>
        <w:rPr>
          <w:b/>
          <w:bCs/>
          <w:szCs w:val="21"/>
        </w:rPr>
      </w:pPr>
      <w:r>
        <w:rPr>
          <w:rFonts w:hint="eastAsia"/>
          <w:b/>
          <w:bCs/>
          <w:szCs w:val="21"/>
        </w:rPr>
        <w:t>（五）投标文件的修改与撤回</w:t>
      </w:r>
    </w:p>
    <w:p w14:paraId="79A282A6">
      <w:pPr>
        <w:spacing w:line="400" w:lineRule="exact"/>
        <w:ind w:firstLine="424" w:firstLineChars="202"/>
        <w:rPr>
          <w:rFonts w:ascii="宋体" w:hAnsi="宋体"/>
          <w:szCs w:val="21"/>
        </w:rPr>
      </w:pPr>
      <w:r>
        <w:rPr>
          <w:rFonts w:hint="eastAsia" w:ascii="宋体" w:hAnsi="宋体"/>
          <w:szCs w:val="21"/>
        </w:rPr>
        <w:t>投标单位在提交投标文件以后，在规定的投标截止时间之前，可以以书面形式补充修改或撤回已提交的投标文件，并以书面形式通知邀标人。补充、修改的内容为投标文件的组成部分。</w:t>
      </w:r>
    </w:p>
    <w:p w14:paraId="3CAFCA4D">
      <w:pPr>
        <w:spacing w:line="400" w:lineRule="exact"/>
        <w:rPr>
          <w:b/>
          <w:szCs w:val="21"/>
        </w:rPr>
      </w:pPr>
      <w:r>
        <w:rPr>
          <w:rFonts w:hint="eastAsia"/>
          <w:b/>
          <w:szCs w:val="21"/>
        </w:rPr>
        <w:t>（六）凡违反以上投标文件编制要求任一条件的投标文件，邀标方均有权按废标处理，因此造成的一切损失及责任均由投标方自行承担。</w:t>
      </w:r>
    </w:p>
    <w:p w14:paraId="52786C61">
      <w:pPr>
        <w:spacing w:line="400" w:lineRule="exact"/>
        <w:rPr>
          <w:b/>
          <w:sz w:val="24"/>
          <w:szCs w:val="24"/>
        </w:rPr>
      </w:pPr>
      <w:r>
        <w:rPr>
          <w:rFonts w:hint="eastAsia"/>
          <w:b/>
          <w:sz w:val="24"/>
          <w:szCs w:val="24"/>
        </w:rPr>
        <w:t>四、开标、评标及中标</w:t>
      </w:r>
    </w:p>
    <w:p w14:paraId="00B39798">
      <w:pPr>
        <w:spacing w:line="400" w:lineRule="exact"/>
        <w:rPr>
          <w:rFonts w:ascii="宋体" w:hAnsi="宋体"/>
          <w:b/>
          <w:szCs w:val="21"/>
        </w:rPr>
      </w:pPr>
      <w:r>
        <w:rPr>
          <w:rFonts w:hint="eastAsia" w:ascii="宋体" w:hAnsi="宋体"/>
          <w:b/>
          <w:szCs w:val="21"/>
        </w:rPr>
        <w:t>（一）开标</w:t>
      </w:r>
    </w:p>
    <w:p w14:paraId="4D46874A">
      <w:pPr>
        <w:spacing w:line="400" w:lineRule="exact"/>
        <w:rPr>
          <w:rFonts w:ascii="宋体" w:hAnsi="宋体"/>
          <w:szCs w:val="21"/>
        </w:rPr>
      </w:pPr>
      <w:r>
        <w:rPr>
          <w:rFonts w:hint="eastAsia" w:ascii="宋体" w:hAnsi="宋体"/>
          <w:szCs w:val="21"/>
        </w:rPr>
        <w:t>邀标人根据需要会自行确定安排时间组织开标小组进行开标，不另行通知投标人。</w:t>
      </w:r>
    </w:p>
    <w:p w14:paraId="2423305D">
      <w:pPr>
        <w:tabs>
          <w:tab w:val="left" w:pos="675"/>
        </w:tabs>
        <w:spacing w:line="400" w:lineRule="exact"/>
        <w:rPr>
          <w:rFonts w:ascii="宋体" w:hAnsi="宋体"/>
          <w:b/>
          <w:szCs w:val="21"/>
        </w:rPr>
      </w:pPr>
      <w:r>
        <w:rPr>
          <w:rFonts w:hint="eastAsia" w:ascii="宋体" w:hAnsi="宋体"/>
          <w:b/>
          <w:szCs w:val="21"/>
        </w:rPr>
        <w:t>（二）评标</w:t>
      </w:r>
    </w:p>
    <w:p w14:paraId="35406452">
      <w:pPr>
        <w:spacing w:line="400" w:lineRule="exact"/>
        <w:rPr>
          <w:rFonts w:ascii="宋体" w:hAnsi="宋体"/>
          <w:szCs w:val="21"/>
        </w:rPr>
      </w:pPr>
      <w:r>
        <w:rPr>
          <w:rFonts w:ascii="宋体" w:hAnsi="宋体"/>
          <w:szCs w:val="21"/>
        </w:rPr>
        <w:t>1</w:t>
      </w:r>
      <w:r>
        <w:rPr>
          <w:rFonts w:hint="eastAsia" w:ascii="宋体" w:hAnsi="宋体"/>
          <w:szCs w:val="21"/>
        </w:rPr>
        <w:t>、开标后由邀标人组织评标小组成员进行评标。 评标和定标工作投标人不参加，但邀标人有权约请投标人以书面形式补充资料，其目的是澄清或解答问题，以便定标时参考，但不得改变投标的实质内容和投标报价。</w:t>
      </w:r>
    </w:p>
    <w:p w14:paraId="6BC967E6">
      <w:pPr>
        <w:spacing w:line="400" w:lineRule="exact"/>
        <w:rPr>
          <w:rFonts w:ascii="宋体" w:hAnsi="宋体"/>
          <w:szCs w:val="21"/>
        </w:rPr>
      </w:pPr>
      <w:r>
        <w:rPr>
          <w:rFonts w:ascii="宋体" w:hAnsi="宋体"/>
          <w:szCs w:val="21"/>
        </w:rPr>
        <w:t>2</w:t>
      </w:r>
      <w:r>
        <w:rPr>
          <w:rFonts w:hint="eastAsia" w:ascii="宋体" w:hAnsi="宋体"/>
          <w:szCs w:val="21"/>
        </w:rPr>
        <w:t>、评标原则：根据投标人提供的投标资料综合评定，在满足所有邀标文件要求，按规定方式报价的前提下，公司信誉好并与邀标单位有良好合作经历，且合理低价的可以优先考虑中标。</w:t>
      </w:r>
    </w:p>
    <w:p w14:paraId="246E3EA1">
      <w:pPr>
        <w:spacing w:line="400" w:lineRule="exact"/>
        <w:rPr>
          <w:rFonts w:ascii="宋体" w:hAnsi="宋体"/>
          <w:b/>
          <w:szCs w:val="21"/>
        </w:rPr>
      </w:pPr>
      <w:r>
        <w:rPr>
          <w:rFonts w:hint="eastAsia" w:ascii="宋体" w:hAnsi="宋体"/>
          <w:b/>
          <w:szCs w:val="21"/>
        </w:rPr>
        <w:t>（三）中标</w:t>
      </w:r>
    </w:p>
    <w:p w14:paraId="38957F34">
      <w:pPr>
        <w:spacing w:line="400" w:lineRule="exact"/>
        <w:rPr>
          <w:rFonts w:ascii="宋体" w:hAnsi="宋体"/>
          <w:szCs w:val="21"/>
        </w:rPr>
      </w:pPr>
      <w:r>
        <w:rPr>
          <w:rFonts w:ascii="宋体" w:hAnsi="宋体"/>
          <w:szCs w:val="21"/>
        </w:rPr>
        <w:t>1</w:t>
      </w:r>
      <w:r>
        <w:rPr>
          <w:rFonts w:hint="eastAsia" w:ascii="宋体" w:hAnsi="宋体"/>
          <w:szCs w:val="21"/>
        </w:rPr>
        <w:t>）邀标人通知中标人后，如因中标人原因在5个工作日内未签订合同，视为中标人主动放弃，邀标人将不予以退还投标保证金（如有）</w:t>
      </w:r>
      <w:r>
        <w:rPr>
          <w:rFonts w:hint="eastAsia" w:ascii="宋体" w:hAnsi="宋体"/>
          <w:sz w:val="30"/>
          <w:szCs w:val="30"/>
        </w:rPr>
        <w:t>，</w:t>
      </w:r>
      <w:r>
        <w:rPr>
          <w:rFonts w:hint="eastAsia" w:ascii="宋体" w:hAnsi="宋体"/>
          <w:szCs w:val="21"/>
        </w:rPr>
        <w:t>邀标人有权另行选择其他投标人</w:t>
      </w:r>
      <w:r>
        <w:rPr>
          <w:rFonts w:hint="eastAsia" w:ascii="宋体" w:hAnsi="宋体"/>
          <w:sz w:val="30"/>
          <w:szCs w:val="30"/>
        </w:rPr>
        <w:t>，</w:t>
      </w:r>
      <w:r>
        <w:rPr>
          <w:rFonts w:hint="eastAsia" w:ascii="宋体" w:hAnsi="宋体"/>
          <w:szCs w:val="21"/>
        </w:rPr>
        <w:t>并保留追究因此而给邀标人造成损失的权利。</w:t>
      </w:r>
    </w:p>
    <w:p w14:paraId="585A78C0">
      <w:pPr>
        <w:spacing w:line="400" w:lineRule="exact"/>
        <w:rPr>
          <w:rFonts w:ascii="宋体" w:hAnsi="宋体"/>
          <w:szCs w:val="21"/>
        </w:rPr>
      </w:pPr>
      <w:r>
        <w:rPr>
          <w:rFonts w:ascii="宋体" w:hAnsi="宋体"/>
          <w:szCs w:val="21"/>
        </w:rPr>
        <w:t>2</w:t>
      </w:r>
      <w:r>
        <w:rPr>
          <w:rFonts w:hint="eastAsia" w:ascii="宋体" w:hAnsi="宋体"/>
          <w:szCs w:val="21"/>
        </w:rPr>
        <w:t>）中标后，中标人不得将此项目转包其他单位。</w:t>
      </w:r>
    </w:p>
    <w:p w14:paraId="4B45DFD2">
      <w:pPr>
        <w:spacing w:line="400" w:lineRule="exact"/>
        <w:rPr>
          <w:rFonts w:ascii="宋体" w:hAnsi="宋体"/>
          <w:szCs w:val="21"/>
        </w:rPr>
      </w:pPr>
    </w:p>
    <w:p w14:paraId="6A4E4A2A">
      <w:pPr>
        <w:rPr>
          <w:rFonts w:ascii="宋体" w:hAnsi="宋体"/>
          <w:szCs w:val="21"/>
        </w:rPr>
      </w:pPr>
      <w:r>
        <w:rPr>
          <w:rFonts w:ascii="宋体" w:hAnsi="宋体"/>
          <w:szCs w:val="21"/>
        </w:rPr>
        <w:br w:type="page"/>
      </w:r>
    </w:p>
    <w:p w14:paraId="603ABFD6">
      <w:pPr>
        <w:spacing w:line="400" w:lineRule="exact"/>
        <w:rPr>
          <w:rFonts w:ascii="宋体" w:hAnsi="宋体"/>
          <w:szCs w:val="21"/>
        </w:rPr>
      </w:pPr>
    </w:p>
    <w:p w14:paraId="311FB46A">
      <w:pPr>
        <w:spacing w:line="400" w:lineRule="exact"/>
        <w:jc w:val="center"/>
        <w:rPr>
          <w:rFonts w:ascii="宋体" w:hAnsi="宋体"/>
          <w:b/>
          <w:sz w:val="32"/>
          <w:szCs w:val="32"/>
          <w:highlight w:val="none"/>
          <w:shd w:val="pct10" w:color="auto" w:fill="FFFFFF"/>
        </w:rPr>
      </w:pPr>
      <w:r>
        <w:rPr>
          <w:rFonts w:hint="eastAsia" w:ascii="宋体" w:hAnsi="宋体"/>
          <w:b/>
          <w:sz w:val="32"/>
          <w:szCs w:val="32"/>
          <w:highlight w:val="none"/>
          <w:shd w:val="pct10" w:color="auto" w:fill="FFFFFF"/>
        </w:rPr>
        <w:t>第三章 合同基本条款</w:t>
      </w:r>
    </w:p>
    <w:p w14:paraId="318A7F92">
      <w:pPr>
        <w:pStyle w:val="14"/>
        <w:spacing w:line="279" w:lineRule="auto"/>
      </w:pPr>
    </w:p>
    <w:p w14:paraId="72B87F52">
      <w:pPr>
        <w:pStyle w:val="14"/>
        <w:spacing w:line="279" w:lineRule="auto"/>
      </w:pPr>
    </w:p>
    <w:p w14:paraId="258FD5DB">
      <w:pPr>
        <w:pStyle w:val="14"/>
        <w:spacing w:line="279" w:lineRule="auto"/>
      </w:pPr>
    </w:p>
    <w:p w14:paraId="4F9CD806">
      <w:pPr>
        <w:pStyle w:val="14"/>
        <w:spacing w:line="279" w:lineRule="auto"/>
      </w:pPr>
    </w:p>
    <w:p w14:paraId="66E30A58">
      <w:pPr>
        <w:spacing w:line="600" w:lineRule="exact"/>
        <w:jc w:val="center"/>
        <w:rPr>
          <w:rFonts w:ascii="黑体" w:hAnsi="黑体" w:eastAsia="黑体" w:cs="黑体"/>
          <w:b/>
          <w:color w:val="auto"/>
          <w:sz w:val="48"/>
          <w:szCs w:val="48"/>
          <w:highlight w:val="none"/>
        </w:rPr>
      </w:pPr>
      <w:r>
        <w:rPr>
          <w:rFonts w:hint="eastAsia" w:ascii="黑体" w:hAnsi="黑体" w:eastAsia="黑体" w:cs="黑体"/>
          <w:b/>
          <w:color w:val="auto"/>
          <w:sz w:val="48"/>
          <w:szCs w:val="48"/>
          <w:highlight w:val="none"/>
        </w:rPr>
        <w:t>海南电力市场售电公司与电力用户</w:t>
      </w:r>
    </w:p>
    <w:p w14:paraId="680158C7">
      <w:pPr>
        <w:spacing w:line="600" w:lineRule="exact"/>
        <w:jc w:val="center"/>
        <w:rPr>
          <w:rFonts w:ascii="黑体" w:hAnsi="黑体" w:eastAsia="黑体" w:cs="黑体"/>
          <w:b/>
          <w:color w:val="auto"/>
          <w:sz w:val="48"/>
          <w:szCs w:val="48"/>
          <w:highlight w:val="none"/>
        </w:rPr>
      </w:pPr>
      <w:r>
        <w:rPr>
          <w:rFonts w:hint="eastAsia" w:ascii="黑体" w:hAnsi="黑体" w:eastAsia="黑体" w:cs="黑体"/>
          <w:b/>
          <w:color w:val="auto"/>
          <w:sz w:val="48"/>
          <w:szCs w:val="48"/>
          <w:highlight w:val="none"/>
        </w:rPr>
        <w:t>零售交易合同</w:t>
      </w:r>
    </w:p>
    <w:p w14:paraId="010FDCDF">
      <w:pPr>
        <w:spacing w:line="600" w:lineRule="exact"/>
        <w:rPr>
          <w:rFonts w:asciiTheme="minorEastAsia" w:hAnsiTheme="minorEastAsia"/>
          <w:color w:val="auto"/>
          <w:sz w:val="32"/>
          <w:szCs w:val="32"/>
          <w:highlight w:val="none"/>
        </w:rPr>
      </w:pPr>
    </w:p>
    <w:p w14:paraId="2C74222A">
      <w:pPr>
        <w:spacing w:line="600" w:lineRule="exact"/>
        <w:rPr>
          <w:rFonts w:asciiTheme="minorEastAsia" w:hAnsiTheme="minorEastAsia"/>
          <w:color w:val="auto"/>
          <w:sz w:val="32"/>
          <w:szCs w:val="32"/>
          <w:highlight w:val="none"/>
        </w:rPr>
      </w:pPr>
    </w:p>
    <w:p w14:paraId="5466A046">
      <w:pPr>
        <w:spacing w:line="600" w:lineRule="exact"/>
        <w:rPr>
          <w:rFonts w:asciiTheme="minorEastAsia" w:hAnsiTheme="minorEastAsia"/>
          <w:color w:val="auto"/>
          <w:sz w:val="32"/>
          <w:szCs w:val="32"/>
          <w:highlight w:val="none"/>
        </w:rPr>
      </w:pPr>
    </w:p>
    <w:p w14:paraId="137E5E87">
      <w:pPr>
        <w:spacing w:line="600" w:lineRule="exact"/>
        <w:rPr>
          <w:rFonts w:asciiTheme="minorEastAsia" w:hAnsiTheme="minorEastAsia"/>
          <w:color w:val="auto"/>
          <w:sz w:val="32"/>
          <w:szCs w:val="32"/>
          <w:highlight w:val="none"/>
        </w:rPr>
      </w:pPr>
    </w:p>
    <w:p w14:paraId="7419EA1D">
      <w:pPr>
        <w:spacing w:line="600" w:lineRule="exact"/>
        <w:rPr>
          <w:rFonts w:asciiTheme="minorEastAsia" w:hAnsiTheme="minorEastAsia"/>
          <w:b/>
          <w:color w:val="auto"/>
          <w:sz w:val="32"/>
          <w:szCs w:val="32"/>
          <w:highlight w:val="none"/>
        </w:rPr>
      </w:pPr>
    </w:p>
    <w:p w14:paraId="0DAE67D3">
      <w:pPr>
        <w:spacing w:line="600" w:lineRule="exact"/>
        <w:jc w:val="center"/>
        <w:rPr>
          <w:rFonts w:asciiTheme="minorEastAsia" w:hAnsiTheme="minorEastAsia"/>
          <w:b/>
          <w:color w:val="auto"/>
          <w:sz w:val="32"/>
          <w:szCs w:val="32"/>
          <w:highlight w:val="none"/>
        </w:rPr>
      </w:pPr>
    </w:p>
    <w:p w14:paraId="0C87CF3C">
      <w:pPr>
        <w:spacing w:line="600" w:lineRule="exact"/>
        <w:jc w:val="center"/>
        <w:rPr>
          <w:rFonts w:asciiTheme="minorEastAsia" w:hAnsiTheme="minorEastAsia"/>
          <w:b/>
          <w:color w:val="auto"/>
          <w:sz w:val="32"/>
          <w:szCs w:val="32"/>
          <w:highlight w:val="none"/>
        </w:rPr>
      </w:pPr>
    </w:p>
    <w:p w14:paraId="35D20E4D">
      <w:pPr>
        <w:spacing w:line="600" w:lineRule="exact"/>
        <w:ind w:firstLine="1606" w:firstLineChars="500"/>
        <w:rPr>
          <w:rFonts w:asciiTheme="minorEastAsia" w:hAnsiTheme="minorEastAsia"/>
          <w:b/>
          <w:color w:val="auto"/>
          <w:sz w:val="32"/>
          <w:szCs w:val="32"/>
          <w:highlight w:val="none"/>
        </w:rPr>
      </w:pPr>
    </w:p>
    <w:p w14:paraId="2AADA1C4">
      <w:pPr>
        <w:spacing w:line="600" w:lineRule="exact"/>
        <w:ind w:firstLine="1285" w:firstLineChars="400"/>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甲方（电力用户）：</w:t>
      </w:r>
      <w:r>
        <w:rPr>
          <w:rFonts w:hint="eastAsia" w:ascii="黑体" w:hAnsi="黑体" w:eastAsia="黑体" w:cs="黑体"/>
          <w:b/>
          <w:color w:val="auto"/>
          <w:sz w:val="32"/>
          <w:szCs w:val="32"/>
          <w:highlight w:val="none"/>
          <w:u w:val="single"/>
        </w:rPr>
        <w:t xml:space="preserve"> </w:t>
      </w:r>
      <w:r>
        <w:rPr>
          <w:rFonts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p w14:paraId="0D938B0A">
      <w:pPr>
        <w:spacing w:line="600" w:lineRule="exact"/>
        <w:ind w:firstLine="1285" w:firstLineChars="400"/>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乙方（售电公司）：</w:t>
      </w:r>
      <w:r>
        <w:rPr>
          <w:rFonts w:hint="eastAsia" w:ascii="黑体" w:hAnsi="黑体" w:eastAsia="黑体" w:cs="黑体"/>
          <w:b/>
          <w:color w:val="auto"/>
          <w:sz w:val="32"/>
          <w:szCs w:val="32"/>
          <w:highlight w:val="none"/>
          <w:u w:val="single"/>
        </w:rPr>
        <w:t xml:space="preserve"> </w:t>
      </w:r>
      <w:r>
        <w:rPr>
          <w:rFonts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p w14:paraId="411011A1">
      <w:pPr>
        <w:spacing w:line="600" w:lineRule="exact"/>
        <w:rPr>
          <w:rFonts w:asciiTheme="minorEastAsia" w:hAnsiTheme="minorEastAsia"/>
          <w:color w:val="auto"/>
          <w:sz w:val="32"/>
          <w:szCs w:val="32"/>
          <w:highlight w:val="none"/>
        </w:rPr>
      </w:pPr>
    </w:p>
    <w:p w14:paraId="660FA4B3">
      <w:pPr>
        <w:pStyle w:val="58"/>
        <w:spacing w:line="600" w:lineRule="exact"/>
        <w:rPr>
          <w:color w:val="auto"/>
          <w:highlight w:val="none"/>
        </w:rPr>
      </w:pPr>
    </w:p>
    <w:p w14:paraId="7026ED77">
      <w:pPr>
        <w:spacing w:line="600" w:lineRule="exact"/>
        <w:jc w:val="center"/>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签订时间：20</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年</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月</w:t>
      </w:r>
    </w:p>
    <w:p w14:paraId="4ABCCAFF">
      <w:pPr>
        <w:spacing w:line="600" w:lineRule="exact"/>
        <w:jc w:val="center"/>
        <w:rPr>
          <w:rFonts w:asciiTheme="minorEastAsia" w:hAnsiTheme="minorEastAsia"/>
          <w:b/>
          <w:color w:val="auto"/>
          <w:sz w:val="32"/>
          <w:szCs w:val="32"/>
          <w:highlight w:val="none"/>
        </w:rPr>
      </w:pPr>
    </w:p>
    <w:p w14:paraId="4BD198FA">
      <w:pPr>
        <w:spacing w:before="468" w:beforeLines="150" w:after="468" w:afterLines="150" w:line="600" w:lineRule="exact"/>
        <w:jc w:val="center"/>
        <w:rPr>
          <w:rFonts w:eastAsia="黑体"/>
          <w:color w:val="auto"/>
          <w:kern w:val="0"/>
          <w:sz w:val="32"/>
          <w:szCs w:val="32"/>
          <w:highlight w:val="none"/>
        </w:rPr>
        <w:sectPr>
          <w:pgSz w:w="11906" w:h="16838"/>
          <w:pgMar w:top="1440" w:right="1886" w:bottom="1440" w:left="1820" w:header="851" w:footer="992" w:gutter="0"/>
          <w:cols w:space="425" w:num="1"/>
          <w:docGrid w:type="lines" w:linePitch="312" w:charSpace="0"/>
        </w:sectPr>
      </w:pPr>
    </w:p>
    <w:p w14:paraId="32E9FF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黑体"/>
          <w:color w:val="auto"/>
          <w:kern w:val="0"/>
          <w:sz w:val="32"/>
          <w:szCs w:val="32"/>
          <w:highlight w:val="none"/>
        </w:rPr>
      </w:pPr>
      <w:r>
        <w:rPr>
          <w:rFonts w:eastAsia="黑体"/>
          <w:color w:val="auto"/>
          <w:kern w:val="0"/>
          <w:sz w:val="36"/>
          <w:szCs w:val="36"/>
          <w:highlight w:val="none"/>
        </w:rPr>
        <w:t>使用说明</w:t>
      </w:r>
    </w:p>
    <w:p w14:paraId="6BAA5AD7">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560" w:firstLineChars="200"/>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一、</w:t>
      </w:r>
      <w:r>
        <w:rPr>
          <w:rFonts w:hint="eastAsia" w:asciiTheme="minorEastAsia" w:hAnsiTheme="minorEastAsia" w:cstheme="minorEastAsia"/>
          <w:color w:val="auto"/>
          <w:sz w:val="28"/>
          <w:szCs w:val="28"/>
          <w:highlight w:val="none"/>
          <w:lang w:val="en-US" w:eastAsia="zh-CN"/>
        </w:rPr>
        <w:t>本合同</w:t>
      </w:r>
      <w:r>
        <w:rPr>
          <w:rFonts w:hint="eastAsia" w:asciiTheme="minorEastAsia" w:hAnsiTheme="minorEastAsia" w:cstheme="minorEastAsia"/>
          <w:color w:val="auto"/>
          <w:sz w:val="28"/>
          <w:szCs w:val="28"/>
          <w:highlight w:val="none"/>
        </w:rPr>
        <w:t>适用于按照电力交易规则、年度交易实施方案细则、交易通知等要求参加海南电力零售市场的售电公司与电力用户。</w:t>
      </w:r>
    </w:p>
    <w:p w14:paraId="70682CAC">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560" w:firstLineChars="200"/>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二、甲乙双方</w:t>
      </w:r>
      <w:r>
        <w:rPr>
          <w:rFonts w:hint="eastAsia" w:asciiTheme="minorEastAsia" w:hAnsiTheme="minorEastAsia" w:cstheme="minorEastAsia"/>
          <w:color w:val="auto"/>
          <w:sz w:val="28"/>
          <w:szCs w:val="28"/>
          <w:highlight w:val="none"/>
          <w:lang w:val="en-US" w:eastAsia="zh-CN"/>
        </w:rPr>
        <w:t>根据</w:t>
      </w:r>
      <w:r>
        <w:rPr>
          <w:rFonts w:hint="eastAsia" w:asciiTheme="minorEastAsia" w:hAnsiTheme="minorEastAsia" w:cstheme="minorEastAsia"/>
          <w:color w:val="auto"/>
          <w:sz w:val="28"/>
          <w:szCs w:val="28"/>
          <w:highlight w:val="none"/>
        </w:rPr>
        <w:t>本</w:t>
      </w:r>
      <w:r>
        <w:rPr>
          <w:rFonts w:hint="eastAsia" w:asciiTheme="minorEastAsia" w:hAnsiTheme="minorEastAsia" w:cstheme="minorEastAsia"/>
          <w:color w:val="auto"/>
          <w:sz w:val="28"/>
          <w:szCs w:val="28"/>
          <w:highlight w:val="none"/>
          <w:lang w:val="en-US" w:eastAsia="zh-CN"/>
        </w:rPr>
        <w:t>合同</w:t>
      </w:r>
      <w:r>
        <w:rPr>
          <w:rFonts w:hint="eastAsia" w:asciiTheme="minorEastAsia" w:hAnsiTheme="minorEastAsia" w:cstheme="minorEastAsia"/>
          <w:color w:val="auto"/>
          <w:sz w:val="28"/>
          <w:szCs w:val="28"/>
          <w:highlight w:val="none"/>
        </w:rPr>
        <w:t>第</w:t>
      </w:r>
      <w:r>
        <w:rPr>
          <w:rFonts w:hint="eastAsia" w:asciiTheme="minorEastAsia" w:hAnsiTheme="minorEastAsia" w:cstheme="minorEastAsia"/>
          <w:color w:val="auto"/>
          <w:sz w:val="28"/>
          <w:szCs w:val="28"/>
          <w:highlight w:val="none"/>
          <w:lang w:val="en-US" w:eastAsia="zh-CN"/>
        </w:rPr>
        <w:t>四</w:t>
      </w:r>
      <w:r>
        <w:rPr>
          <w:rFonts w:hint="eastAsia" w:asciiTheme="minorEastAsia" w:hAnsiTheme="minorEastAsia" w:cstheme="minorEastAsia"/>
          <w:color w:val="auto"/>
          <w:sz w:val="28"/>
          <w:szCs w:val="28"/>
          <w:highlight w:val="none"/>
        </w:rPr>
        <w:t>章</w:t>
      </w:r>
      <w:r>
        <w:rPr>
          <w:rFonts w:hint="eastAsia" w:asciiTheme="minorEastAsia" w:hAnsiTheme="minorEastAsia" w:cstheme="minorEastAsia"/>
          <w:color w:val="auto"/>
          <w:sz w:val="28"/>
          <w:szCs w:val="28"/>
          <w:highlight w:val="none"/>
          <w:lang w:val="en-US" w:eastAsia="zh-CN"/>
        </w:rPr>
        <w:t>结算事宜</w:t>
      </w:r>
      <w:r>
        <w:rPr>
          <w:rFonts w:hint="eastAsia" w:asciiTheme="minorEastAsia" w:hAnsiTheme="minorEastAsia" w:cstheme="minorEastAsia"/>
          <w:color w:val="auto"/>
          <w:sz w:val="28"/>
          <w:szCs w:val="28"/>
          <w:highlight w:val="none"/>
        </w:rPr>
        <w:t>所约定的合同内容</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rPr>
        <w:t>在</w:t>
      </w:r>
      <w:r>
        <w:rPr>
          <w:rFonts w:hint="eastAsia" w:asciiTheme="minorEastAsia" w:hAnsiTheme="minorEastAsia" w:cstheme="minorEastAsia"/>
          <w:color w:val="auto"/>
          <w:sz w:val="28"/>
          <w:szCs w:val="28"/>
          <w:highlight w:val="none"/>
          <w:lang w:eastAsia="zh-CN"/>
        </w:rPr>
        <w:t>南方区域电力交易平台（以下简称“交易</w:t>
      </w:r>
      <w:r>
        <w:rPr>
          <w:rFonts w:hint="eastAsia" w:asciiTheme="minorEastAsia" w:hAnsiTheme="minorEastAsia" w:cstheme="minorEastAsia"/>
          <w:color w:val="auto"/>
          <w:sz w:val="28"/>
          <w:szCs w:val="28"/>
          <w:highlight w:val="none"/>
          <w:lang w:val="en-US" w:eastAsia="zh-CN"/>
        </w:rPr>
        <w:t>平台</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进行零售关键信息登记</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零售关键信息包括零售双方主体、</w:t>
      </w:r>
      <w:r>
        <w:rPr>
          <w:rFonts w:hint="eastAsia" w:asciiTheme="minorEastAsia" w:hAnsiTheme="minorEastAsia" w:cstheme="minorEastAsia"/>
          <w:color w:val="auto"/>
          <w:sz w:val="28"/>
          <w:szCs w:val="28"/>
          <w:highlight w:val="none"/>
          <w:lang w:val="en-US" w:eastAsia="zh-CN"/>
        </w:rPr>
        <w:t>合同起止时间</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rPr>
        <w:t>零售套餐、价格、</w:t>
      </w:r>
      <w:r>
        <w:rPr>
          <w:rFonts w:hint="eastAsia" w:asciiTheme="minorEastAsia" w:hAnsiTheme="minorEastAsia" w:cstheme="minorEastAsia"/>
          <w:color w:val="auto"/>
          <w:sz w:val="28"/>
          <w:szCs w:val="28"/>
          <w:highlight w:val="none"/>
          <w:lang w:val="en-US" w:eastAsia="zh-CN"/>
        </w:rPr>
        <w:t>分月计划电量、</w:t>
      </w:r>
      <w:r>
        <w:rPr>
          <w:rFonts w:hint="eastAsia" w:asciiTheme="minorEastAsia" w:hAnsiTheme="minorEastAsia" w:cstheme="minorEastAsia"/>
          <w:color w:val="auto"/>
          <w:sz w:val="28"/>
          <w:szCs w:val="28"/>
          <w:highlight w:val="none"/>
        </w:rPr>
        <w:t>绿色电力交易电量比例</w:t>
      </w:r>
      <w:r>
        <w:rPr>
          <w:rFonts w:hint="eastAsia" w:asciiTheme="minorEastAsia" w:hAnsiTheme="minorEastAsia" w:cstheme="minorEastAsia"/>
          <w:color w:val="auto"/>
          <w:sz w:val="28"/>
          <w:szCs w:val="28"/>
          <w:highlight w:val="none"/>
          <w:lang w:val="en-US" w:eastAsia="zh-CN"/>
        </w:rPr>
        <w:t>以及</w:t>
      </w:r>
      <w:r>
        <w:rPr>
          <w:rFonts w:hint="eastAsia" w:asciiTheme="minorEastAsia" w:hAnsiTheme="minorEastAsia" w:cstheme="minorEastAsia"/>
          <w:color w:val="auto"/>
          <w:sz w:val="28"/>
          <w:szCs w:val="28"/>
          <w:highlight w:val="none"/>
        </w:rPr>
        <w:t>环境溢价（绿证价格）价格区间</w:t>
      </w:r>
      <w:r>
        <w:rPr>
          <w:rFonts w:hint="eastAsia" w:asciiTheme="minorEastAsia" w:hAnsiTheme="minorEastAsia" w:eastAsiaTheme="minorEastAsia" w:cstheme="minorEastAsia"/>
          <w:color w:val="auto"/>
          <w:sz w:val="28"/>
          <w:szCs w:val="28"/>
          <w:highlight w:val="none"/>
        </w:rPr>
        <w:t>等</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并按照</w:t>
      </w:r>
      <w:r>
        <w:rPr>
          <w:rFonts w:hint="eastAsia" w:asciiTheme="minorEastAsia" w:hAnsiTheme="minorEastAsia" w:cstheme="minorEastAsia"/>
          <w:color w:val="auto"/>
          <w:sz w:val="28"/>
          <w:szCs w:val="28"/>
          <w:highlight w:val="none"/>
          <w:lang w:val="en-US" w:eastAsia="zh-CN"/>
        </w:rPr>
        <w:t>交易</w:t>
      </w:r>
      <w:r>
        <w:rPr>
          <w:rFonts w:hint="eastAsia" w:asciiTheme="minorEastAsia" w:hAnsiTheme="minorEastAsia" w:eastAsiaTheme="minorEastAsia" w:cstheme="minorEastAsia"/>
          <w:color w:val="auto"/>
          <w:sz w:val="28"/>
          <w:szCs w:val="28"/>
          <w:highlight w:val="none"/>
          <w:lang w:val="en-US" w:eastAsia="zh-CN"/>
        </w:rPr>
        <w:t>平台中固化的零售</w:t>
      </w:r>
      <w:r>
        <w:rPr>
          <w:rFonts w:hint="eastAsia" w:asciiTheme="minorEastAsia" w:hAnsiTheme="minorEastAsia" w:cstheme="minorEastAsia"/>
          <w:color w:val="auto"/>
          <w:sz w:val="28"/>
          <w:szCs w:val="28"/>
          <w:highlight w:val="none"/>
          <w:lang w:val="en-US" w:eastAsia="zh-CN"/>
        </w:rPr>
        <w:t>套餐</w:t>
      </w:r>
      <w:r>
        <w:rPr>
          <w:rFonts w:hint="eastAsia" w:asciiTheme="minorEastAsia" w:hAnsiTheme="minorEastAsia" w:cstheme="minorEastAsia"/>
          <w:color w:val="auto"/>
          <w:sz w:val="28"/>
          <w:szCs w:val="28"/>
          <w:highlight w:val="none"/>
        </w:rPr>
        <w:t>为依据开展结算服务。</w:t>
      </w:r>
    </w:p>
    <w:p w14:paraId="445707F0">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560" w:firstLineChars="200"/>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三、本</w:t>
      </w:r>
      <w:r>
        <w:rPr>
          <w:rFonts w:hint="eastAsia" w:asciiTheme="minorEastAsia" w:hAnsiTheme="minorEastAsia" w:cstheme="minorEastAsia"/>
          <w:color w:val="auto"/>
          <w:sz w:val="28"/>
          <w:szCs w:val="28"/>
          <w:highlight w:val="none"/>
          <w:lang w:val="en-US" w:eastAsia="zh-CN"/>
        </w:rPr>
        <w:t>参考文本</w:t>
      </w:r>
      <w:r>
        <w:rPr>
          <w:rFonts w:hint="eastAsia" w:asciiTheme="minorEastAsia" w:hAnsiTheme="minorEastAsia" w:cstheme="minorEastAsia"/>
          <w:color w:val="auto"/>
          <w:sz w:val="28"/>
          <w:szCs w:val="28"/>
          <w:highlight w:val="none"/>
        </w:rPr>
        <w:t>仅支持合同双方约定的电能量电费</w:t>
      </w:r>
      <w:r>
        <w:rPr>
          <w:rFonts w:hint="eastAsia" w:asciiTheme="minorEastAsia" w:hAnsiTheme="minorEastAsia" w:cstheme="minorEastAsia"/>
          <w:color w:val="auto"/>
          <w:sz w:val="28"/>
          <w:szCs w:val="28"/>
          <w:highlight w:val="none"/>
          <w:lang w:val="en-US" w:eastAsia="zh-CN"/>
        </w:rPr>
        <w:t>和</w:t>
      </w:r>
      <w:r>
        <w:rPr>
          <w:rFonts w:hint="eastAsia" w:asciiTheme="minorEastAsia" w:hAnsiTheme="minorEastAsia" w:cstheme="minorEastAsia"/>
          <w:color w:val="auto"/>
          <w:sz w:val="28"/>
          <w:szCs w:val="28"/>
          <w:highlight w:val="none"/>
        </w:rPr>
        <w:t>环境溢价（绿证价格）电费结算，不含需求响应零售结算。若涉及其他需资金结算的增值服务，由合同双方另行签订合同，并自主结算。</w:t>
      </w:r>
    </w:p>
    <w:p w14:paraId="6299BB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val="en-US" w:eastAsia="zh-CN"/>
        </w:rPr>
        <w:t>四</w:t>
      </w:r>
      <w:r>
        <w:rPr>
          <w:rFonts w:hint="eastAsia" w:asciiTheme="minorEastAsia" w:hAnsiTheme="minorEastAsia" w:cstheme="minorEastAsia"/>
          <w:color w:val="auto"/>
          <w:sz w:val="28"/>
          <w:szCs w:val="28"/>
          <w:highlight w:val="none"/>
        </w:rPr>
        <w:t>、本参考文本若与现行有效的市场交易规则或年度交易实施方案冲突，以市场交易规则或年度交易实施方案为准。</w:t>
      </w:r>
    </w:p>
    <w:p w14:paraId="4821131A">
      <w:pPr>
        <w:spacing w:line="600" w:lineRule="exact"/>
        <w:jc w:val="center"/>
        <w:rPr>
          <w:rFonts w:asciiTheme="minorEastAsia" w:hAnsiTheme="minorEastAsia"/>
          <w:b/>
          <w:color w:val="auto"/>
          <w:sz w:val="32"/>
          <w:szCs w:val="32"/>
          <w:highlight w:val="none"/>
        </w:rPr>
      </w:pPr>
    </w:p>
    <w:p w14:paraId="7C8F2174">
      <w:pPr>
        <w:spacing w:line="600" w:lineRule="exact"/>
        <w:jc w:val="center"/>
        <w:rPr>
          <w:rFonts w:asciiTheme="minorEastAsia" w:hAnsiTheme="minorEastAsia"/>
          <w:b/>
          <w:color w:val="auto"/>
          <w:sz w:val="32"/>
          <w:szCs w:val="32"/>
          <w:highlight w:val="none"/>
        </w:rPr>
      </w:pPr>
    </w:p>
    <w:p w14:paraId="3923B55E">
      <w:pPr>
        <w:spacing w:line="600" w:lineRule="exact"/>
        <w:jc w:val="center"/>
        <w:rPr>
          <w:rFonts w:ascii="黑体" w:hAnsi="黑体" w:eastAsia="黑体" w:cs="黑体"/>
          <w:color w:val="auto"/>
          <w:sz w:val="30"/>
          <w:szCs w:val="30"/>
          <w:highlight w:val="none"/>
        </w:rPr>
        <w:sectPr>
          <w:footerReference r:id="rId6" w:type="default"/>
          <w:pgSz w:w="11906" w:h="16838"/>
          <w:pgMar w:top="1440" w:right="1886" w:bottom="1440" w:left="1820" w:header="851" w:footer="992" w:gutter="0"/>
          <w:pgNumType w:fmt="decimal" w:start="1"/>
          <w:cols w:space="425" w:num="1"/>
          <w:docGrid w:type="lines" w:linePitch="312" w:charSpace="0"/>
        </w:sectPr>
      </w:pPr>
    </w:p>
    <w:sdt>
      <w:sdtPr>
        <w:rPr>
          <w:rFonts w:asciiTheme="minorHAnsi" w:hAnsiTheme="minorHAnsi" w:eastAsiaTheme="minorEastAsia" w:cstheme="minorBidi"/>
          <w:color w:val="auto"/>
          <w:kern w:val="2"/>
          <w:sz w:val="21"/>
          <w:szCs w:val="24"/>
          <w:highlight w:val="none"/>
          <w:lang w:val="zh-CN"/>
        </w:rPr>
        <w:id w:val="-1400889652"/>
        <w:docPartObj>
          <w:docPartGallery w:val="Table of Contents"/>
          <w:docPartUnique/>
        </w:docPartObj>
      </w:sdtPr>
      <w:sdtEndPr>
        <w:rPr>
          <w:rFonts w:ascii="黑体" w:hAnsi="黑体" w:eastAsia="黑体" w:cstheme="minorBidi"/>
          <w:b/>
          <w:bCs/>
          <w:color w:val="auto"/>
          <w:kern w:val="2"/>
          <w:sz w:val="28"/>
          <w:szCs w:val="28"/>
          <w:highlight w:val="none"/>
          <w:lang w:val="zh-CN"/>
        </w:rPr>
      </w:sdtEndPr>
      <w:sdtContent>
        <w:p w14:paraId="0E5D6C89">
          <w:pPr>
            <w:pStyle w:val="59"/>
            <w:numPr>
              <w:ilvl w:val="0"/>
              <w:numId w:val="0"/>
            </w:numPr>
            <w:spacing w:line="600" w:lineRule="exact"/>
            <w:ind w:leftChars="0"/>
            <w:jc w:val="center"/>
            <w:rPr>
              <w:color w:val="auto"/>
              <w:sz w:val="44"/>
              <w:szCs w:val="44"/>
              <w:highlight w:val="none"/>
            </w:rPr>
          </w:pPr>
          <w:r>
            <w:rPr>
              <w:color w:val="auto"/>
              <w:sz w:val="44"/>
              <w:szCs w:val="44"/>
              <w:highlight w:val="none"/>
              <w:lang w:val="zh-CN"/>
            </w:rPr>
            <w:t>目</w:t>
          </w:r>
          <w:r>
            <w:rPr>
              <w:rFonts w:hint="eastAsia"/>
              <w:color w:val="auto"/>
              <w:sz w:val="44"/>
              <w:szCs w:val="44"/>
              <w:highlight w:val="none"/>
              <w:lang w:val="en-US" w:eastAsia="zh-CN"/>
            </w:rPr>
            <w:t xml:space="preserve">  </w:t>
          </w:r>
          <w:r>
            <w:rPr>
              <w:color w:val="auto"/>
              <w:sz w:val="44"/>
              <w:szCs w:val="44"/>
              <w:highlight w:val="none"/>
              <w:lang w:val="zh-CN"/>
            </w:rPr>
            <w:t>录</w:t>
          </w:r>
        </w:p>
        <w:p w14:paraId="32E42D10">
          <w:pPr>
            <w:pStyle w:val="23"/>
            <w:tabs>
              <w:tab w:val="right" w:leader="dot" w:pos="8200"/>
            </w:tabs>
            <w:rPr>
              <w:color w:val="auto"/>
            </w:rPr>
          </w:pPr>
          <w:r>
            <w:rPr>
              <w:rFonts w:ascii="黑体" w:hAnsi="黑体" w:eastAsia="黑体"/>
              <w:color w:val="auto"/>
              <w:sz w:val="28"/>
              <w:szCs w:val="28"/>
              <w:highlight w:val="none"/>
            </w:rPr>
            <w:fldChar w:fldCharType="begin"/>
          </w:r>
          <w:r>
            <w:rPr>
              <w:rFonts w:ascii="黑体" w:hAnsi="黑体" w:eastAsia="黑体"/>
              <w:color w:val="auto"/>
              <w:sz w:val="28"/>
              <w:szCs w:val="28"/>
              <w:highlight w:val="none"/>
            </w:rPr>
            <w:instrText xml:space="preserve"> TOC \o "1-3" \h \z \u </w:instrText>
          </w:r>
          <w:r>
            <w:rPr>
              <w:rFonts w:ascii="黑体" w:hAnsi="黑体" w:eastAsia="黑体"/>
              <w:color w:val="auto"/>
              <w:sz w:val="28"/>
              <w:szCs w:val="28"/>
              <w:highlight w:val="none"/>
            </w:rPr>
            <w:fldChar w:fldCharType="separate"/>
          </w:r>
        </w:p>
        <w:p w14:paraId="02362CE1">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"_Toc16353" </w:instrText>
          </w:r>
          <w:r>
            <w:fldChar w:fldCharType="separate"/>
          </w:r>
          <w:r>
            <w:rPr>
              <w:rFonts w:hint="eastAsia" w:ascii="仿宋_GB2312" w:hAnsi="仿宋_GB2312" w:eastAsia="仿宋_GB2312" w:cs="仿宋_GB2312"/>
              <w:color w:val="auto"/>
              <w:sz w:val="32"/>
              <w:szCs w:val="32"/>
              <w:highlight w:val="none"/>
            </w:rPr>
            <w:t>第1章　定义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说明</w:t>
          </w:r>
          <w:r>
            <w:rPr>
              <w:rFonts w:hint="eastAsia" w:ascii="仿宋_GB2312" w:hAnsi="仿宋_GB2312" w:eastAsia="仿宋_GB2312" w:cs="仿宋_GB2312"/>
              <w:color w:val="auto"/>
              <w:sz w:val="32"/>
              <w:szCs w:val="32"/>
              <w:highlight w:val="none"/>
              <w:lang w:val="en-US" w:eastAsia="zh-CN"/>
            </w:rPr>
            <w:t>和风险提示</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_Toc16353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30102990">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"_Toc24936" </w:instrText>
          </w:r>
          <w:r>
            <w:fldChar w:fldCharType="separate"/>
          </w:r>
          <w:r>
            <w:rPr>
              <w:rFonts w:hint="eastAsia" w:ascii="仿宋_GB2312" w:hAnsi="仿宋_GB2312" w:eastAsia="仿宋_GB2312" w:cs="仿宋_GB2312"/>
              <w:color w:val="auto"/>
              <w:sz w:val="32"/>
              <w:szCs w:val="32"/>
              <w:highlight w:val="none"/>
            </w:rPr>
            <w:t>第2章　双方承诺</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_Toc24936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30469BFA">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"_Toc10893" </w:instrText>
          </w:r>
          <w:r>
            <w:fldChar w:fldCharType="separate"/>
          </w:r>
          <w:r>
            <w:rPr>
              <w:rFonts w:hint="eastAsia" w:ascii="仿宋_GB2312" w:hAnsi="仿宋_GB2312" w:eastAsia="仿宋_GB2312" w:cs="仿宋_GB2312"/>
              <w:color w:val="auto"/>
              <w:sz w:val="32"/>
              <w:szCs w:val="32"/>
              <w:highlight w:val="none"/>
            </w:rPr>
            <w:t>第3章　双方的权利和义务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_Toc10893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390B60AA">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"_Toc25766" </w:instrText>
          </w:r>
          <w:r>
            <w:fldChar w:fldCharType="separate"/>
          </w:r>
          <w:r>
            <w:rPr>
              <w:rFonts w:hint="eastAsia" w:ascii="仿宋_GB2312" w:hAnsi="仿宋_GB2312" w:eastAsia="仿宋_GB2312" w:cs="仿宋_GB2312"/>
              <w:color w:val="auto"/>
              <w:sz w:val="32"/>
              <w:szCs w:val="32"/>
              <w:highlight w:val="none"/>
            </w:rPr>
            <w:t>第4章　结算事宜</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_Toc25766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21EBC9E">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"_Toc1002" </w:instrText>
          </w:r>
          <w:r>
            <w:fldChar w:fldCharType="separate"/>
          </w:r>
          <w:r>
            <w:rPr>
              <w:rFonts w:hint="eastAsia" w:ascii="仿宋_GB2312" w:hAnsi="仿宋_GB2312" w:eastAsia="仿宋_GB2312" w:cs="仿宋_GB2312"/>
              <w:color w:val="auto"/>
              <w:sz w:val="32"/>
              <w:szCs w:val="32"/>
              <w:highlight w:val="none"/>
            </w:rPr>
            <w:t>第5章　电能计量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_Toc1002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EA2BF47">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"_Toc31803" </w:instrText>
          </w:r>
          <w:r>
            <w:fldChar w:fldCharType="separate"/>
          </w:r>
          <w:r>
            <w:rPr>
              <w:rFonts w:hint="eastAsia" w:ascii="仿宋_GB2312" w:hAnsi="仿宋_GB2312" w:eastAsia="仿宋_GB2312" w:cs="仿宋_GB2312"/>
              <w:color w:val="auto"/>
              <w:sz w:val="32"/>
              <w:szCs w:val="32"/>
              <w:highlight w:val="none"/>
            </w:rPr>
            <w:t>第6章  合同生效和期限</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_Toc31803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F914C4E">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"_Toc30555" </w:instrText>
          </w:r>
          <w:r>
            <w:fldChar w:fldCharType="separate"/>
          </w:r>
          <w:r>
            <w:rPr>
              <w:rFonts w:hint="eastAsia" w:ascii="仿宋_GB2312" w:hAnsi="仿宋_GB2312" w:eastAsia="仿宋_GB2312" w:cs="仿宋_GB2312"/>
              <w:color w:val="auto"/>
              <w:sz w:val="32"/>
              <w:szCs w:val="32"/>
              <w:highlight w:val="none"/>
            </w:rPr>
            <w:t>第7章  合同变更和解除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_Toc30555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6D3FB268">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"_Toc28721" </w:instrText>
          </w:r>
          <w:r>
            <w:fldChar w:fldCharType="separate"/>
          </w:r>
          <w:r>
            <w:rPr>
              <w:rFonts w:hint="eastAsia" w:ascii="仿宋_GB2312" w:hAnsi="仿宋_GB2312" w:eastAsia="仿宋_GB2312" w:cs="仿宋_GB2312"/>
              <w:color w:val="auto"/>
              <w:sz w:val="32"/>
              <w:szCs w:val="32"/>
              <w:highlight w:val="none"/>
            </w:rPr>
            <w:t>第8章　合同违约和赔偿</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_Toc28721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4CBA3C5C">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"_Toc17337" </w:instrText>
          </w:r>
          <w:r>
            <w:fldChar w:fldCharType="separate"/>
          </w:r>
          <w:r>
            <w:rPr>
              <w:rFonts w:hint="eastAsia" w:ascii="仿宋_GB2312" w:hAnsi="仿宋_GB2312" w:eastAsia="仿宋_GB2312" w:cs="仿宋_GB2312"/>
              <w:color w:val="auto"/>
              <w:sz w:val="32"/>
              <w:szCs w:val="32"/>
              <w:highlight w:val="none"/>
            </w:rPr>
            <w:t>第9章　免责条款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_Toc17337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4E5AA67">
          <w:pPr>
            <w:pStyle w:val="23"/>
            <w:tabs>
              <w:tab w:val="right" w:leader="dot" w:pos="8200"/>
            </w:tabs>
            <w:rPr>
              <w:rFonts w:hint="eastAsia" w:ascii="仿宋_GB2312" w:hAnsi="仿宋_GB2312" w:eastAsia="仿宋_GB2312" w:cs="仿宋_GB2312"/>
              <w:color w:val="auto"/>
              <w:sz w:val="32"/>
              <w:szCs w:val="32"/>
            </w:rPr>
          </w:pPr>
          <w:r>
            <w:fldChar w:fldCharType="begin"/>
          </w:r>
          <w:r>
            <w:instrText xml:space="preserve"> HYPERLINK \l "_Toc22773" </w:instrText>
          </w:r>
          <w:r>
            <w:fldChar w:fldCharType="separate"/>
          </w:r>
          <w:r>
            <w:rPr>
              <w:rFonts w:hint="eastAsia" w:ascii="仿宋_GB2312" w:hAnsi="仿宋_GB2312" w:eastAsia="仿宋_GB2312" w:cs="仿宋_GB2312"/>
              <w:color w:val="auto"/>
              <w:sz w:val="32"/>
              <w:szCs w:val="32"/>
              <w:highlight w:val="none"/>
            </w:rPr>
            <w:t>第10章　争议的解决</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_Toc22773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4E82C5FD">
          <w:pPr>
            <w:pStyle w:val="23"/>
            <w:tabs>
              <w:tab w:val="right" w:leader="dot" w:pos="8200"/>
            </w:tabs>
            <w:rPr>
              <w:color w:val="auto"/>
            </w:rPr>
          </w:pPr>
          <w:r>
            <w:fldChar w:fldCharType="begin"/>
          </w:r>
          <w:r>
            <w:instrText xml:space="preserve"> HYPERLINK \l "_Toc19447" </w:instrText>
          </w:r>
          <w:r>
            <w:fldChar w:fldCharType="separate"/>
          </w:r>
          <w:r>
            <w:rPr>
              <w:rFonts w:hint="eastAsia" w:ascii="仿宋_GB2312" w:hAnsi="仿宋_GB2312" w:eastAsia="仿宋_GB2312" w:cs="仿宋_GB2312"/>
              <w:color w:val="auto"/>
              <w:sz w:val="32"/>
              <w:szCs w:val="32"/>
              <w:highlight w:val="none"/>
            </w:rPr>
            <w:t>第11章　其他</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_Toc19447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1EC8B503">
          <w:pPr>
            <w:spacing w:line="600" w:lineRule="exact"/>
            <w:rPr>
              <w:rFonts w:ascii="黑体" w:hAnsi="黑体" w:eastAsia="黑体"/>
              <w:color w:val="auto"/>
              <w:sz w:val="28"/>
              <w:szCs w:val="28"/>
              <w:highlight w:val="none"/>
            </w:rPr>
          </w:pPr>
          <w:r>
            <w:rPr>
              <w:rFonts w:ascii="黑体" w:hAnsi="黑体" w:eastAsia="黑体"/>
              <w:bCs/>
              <w:color w:val="auto"/>
              <w:szCs w:val="28"/>
              <w:highlight w:val="none"/>
              <w:lang w:val="zh-CN"/>
            </w:rPr>
            <w:fldChar w:fldCharType="end"/>
          </w:r>
        </w:p>
      </w:sdtContent>
    </w:sdt>
    <w:p w14:paraId="61762B68">
      <w:pPr>
        <w:spacing w:line="600" w:lineRule="exact"/>
        <w:jc w:val="center"/>
        <w:rPr>
          <w:rFonts w:ascii="黑体" w:hAnsi="黑体" w:eastAsia="黑体" w:cs="黑体"/>
          <w:color w:val="auto"/>
          <w:sz w:val="28"/>
          <w:szCs w:val="28"/>
          <w:highlight w:val="none"/>
        </w:rPr>
        <w:sectPr>
          <w:footerReference r:id="rId7" w:type="default"/>
          <w:pgSz w:w="11906" w:h="16838"/>
          <w:pgMar w:top="1440" w:right="1886" w:bottom="1440" w:left="1820" w:header="851" w:footer="992" w:gutter="0"/>
          <w:pgNumType w:fmt="decimal"/>
          <w:cols w:space="425" w:num="1"/>
          <w:docGrid w:type="lines" w:linePitch="312" w:charSpace="0"/>
        </w:sectPr>
      </w:pPr>
    </w:p>
    <w:p w14:paraId="4DE88727">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asciiTheme="minorEastAsia" w:hAnsiTheme="minorEastAsia"/>
          <w:color w:val="auto"/>
          <w:sz w:val="28"/>
          <w:szCs w:val="28"/>
          <w:highlight w:val="none"/>
        </w:rPr>
      </w:pPr>
      <w:bookmarkStart w:id="0" w:name="_Toc474141909"/>
      <w:bookmarkStart w:id="1" w:name="_Toc20560"/>
      <w:bookmarkStart w:id="2" w:name="_Toc12797"/>
      <w:bookmarkStart w:id="3" w:name="_Toc6874"/>
      <w:bookmarkStart w:id="4" w:name="_Toc12400"/>
      <w:r>
        <w:rPr>
          <w:rFonts w:hint="eastAsia" w:asciiTheme="minorEastAsia" w:hAnsiTheme="minorEastAsia"/>
          <w:color w:val="auto"/>
          <w:sz w:val="28"/>
          <w:szCs w:val="28"/>
          <w:highlight w:val="none"/>
        </w:rPr>
        <w:t>本合同</w:t>
      </w:r>
      <w:r>
        <w:rPr>
          <w:rFonts w:asciiTheme="minorEastAsia" w:hAnsiTheme="minorEastAsia"/>
          <w:color w:val="auto"/>
          <w:sz w:val="28"/>
          <w:szCs w:val="28"/>
          <w:highlight w:val="none"/>
        </w:rPr>
        <w:t>由下列</w:t>
      </w:r>
      <w:r>
        <w:rPr>
          <w:rFonts w:hint="eastAsia" w:asciiTheme="minorEastAsia" w:hAnsiTheme="minorEastAsia"/>
          <w:color w:val="auto"/>
          <w:sz w:val="28"/>
          <w:szCs w:val="28"/>
          <w:highlight w:val="none"/>
        </w:rPr>
        <w:t>双</w:t>
      </w:r>
      <w:r>
        <w:rPr>
          <w:rFonts w:asciiTheme="minorEastAsia" w:hAnsiTheme="minorEastAsia"/>
          <w:color w:val="auto"/>
          <w:sz w:val="28"/>
          <w:szCs w:val="28"/>
          <w:highlight w:val="none"/>
        </w:rPr>
        <w:t>方签署：</w:t>
      </w:r>
    </w:p>
    <w:p w14:paraId="3A739EE9">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asciiTheme="minorEastAsia" w:hAnsiTheme="minorEastAsia"/>
          <w:color w:val="auto"/>
          <w:sz w:val="28"/>
          <w:szCs w:val="28"/>
          <w:highlight w:val="none"/>
        </w:rPr>
      </w:pP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rPr>
        <w:t>甲方</w:t>
      </w: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rPr>
        <w:t>即</w:t>
      </w:r>
      <w:r>
        <w:rPr>
          <w:rFonts w:asciiTheme="minorEastAsia" w:hAnsiTheme="minorEastAsia"/>
          <w:color w:val="auto"/>
          <w:sz w:val="28"/>
          <w:szCs w:val="28"/>
          <w:highlight w:val="none"/>
        </w:rPr>
        <w:t>电力用户）：</w:t>
      </w:r>
      <w:r>
        <w:rPr>
          <w:rFonts w:hint="eastAsia" w:ascii="宋体" w:hAnsi="宋体"/>
          <w:color w:val="auto"/>
          <w:sz w:val="28"/>
          <w:szCs w:val="28"/>
          <w:highlight w:val="none"/>
          <w:u w:val="single"/>
        </w:rPr>
        <w:t xml:space="preserve">                </w:t>
      </w: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rPr>
        <w:t>电压等级：</w:t>
      </w:r>
      <w:r>
        <w:rPr>
          <w:rFonts w:hint="eastAsia" w:asciiTheme="minorEastAsia" w:hAnsiTheme="minorEastAsia"/>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Theme="minorEastAsia" w:hAnsiTheme="minorEastAsia"/>
          <w:color w:val="auto"/>
          <w:sz w:val="28"/>
          <w:szCs w:val="28"/>
          <w:highlight w:val="none"/>
        </w:rPr>
        <w:t>企业所在地为</w:t>
      </w:r>
      <w:r>
        <w:rPr>
          <w:rFonts w:hint="eastAsia" w:asciiTheme="minorEastAsia" w:hAnsiTheme="minorEastAsia"/>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asciiTheme="minorEastAsia" w:hAnsiTheme="minorEastAsia"/>
          <w:color w:val="auto"/>
          <w:sz w:val="28"/>
          <w:szCs w:val="28"/>
          <w:highlight w:val="none"/>
        </w:rPr>
        <w:t>在工商行政管理局</w:t>
      </w:r>
      <w:r>
        <w:rPr>
          <w:rFonts w:hint="eastAsia" w:asciiTheme="minorEastAsia" w:hAnsiTheme="minorEastAsia"/>
          <w:color w:val="auto"/>
          <w:sz w:val="28"/>
          <w:szCs w:val="28"/>
          <w:highlight w:val="none"/>
          <w:lang w:val="en-US" w:eastAsia="zh-CN"/>
        </w:rPr>
        <w:t>/市场监督管理机构</w:t>
      </w:r>
      <w:r>
        <w:rPr>
          <w:rFonts w:asciiTheme="minorEastAsia" w:hAnsiTheme="minorEastAsia"/>
          <w:color w:val="auto"/>
          <w:sz w:val="28"/>
          <w:szCs w:val="28"/>
          <w:highlight w:val="none"/>
        </w:rPr>
        <w:t>登记注册，统一社会信用代码（</w:t>
      </w:r>
      <w:r>
        <w:rPr>
          <w:rFonts w:hint="eastAsia" w:asciiTheme="minorEastAsia" w:hAnsiTheme="minorEastAsia"/>
          <w:color w:val="auto"/>
          <w:sz w:val="28"/>
          <w:szCs w:val="28"/>
          <w:highlight w:val="none"/>
        </w:rPr>
        <w:t>组织机构代码</w:t>
      </w:r>
      <w:r>
        <w:rPr>
          <w:rFonts w:asciiTheme="minorEastAsia" w:hAnsiTheme="minorEastAsia"/>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，法定代表人（企业负责人）：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，户号包括：</w:t>
      </w:r>
      <w:r>
        <w:rPr>
          <w:rFonts w:hint="eastAsia" w:ascii="宋体" w:hAnsi="宋体"/>
          <w:color w:val="auto"/>
          <w:sz w:val="28"/>
          <w:szCs w:val="28"/>
          <w:highlight w:val="none"/>
          <w:u w:val="single"/>
        </w:rPr>
        <w:t xml:space="preserve">                 </w:t>
      </w:r>
      <w:r>
        <w:rPr>
          <w:rFonts w:hint="eastAsia" w:asciiTheme="minorEastAsia" w:hAnsiTheme="minorEastAsia"/>
          <w:color w:val="auto"/>
          <w:sz w:val="28"/>
          <w:szCs w:val="28"/>
          <w:highlight w:val="none"/>
        </w:rPr>
        <w:t>。</w:t>
      </w:r>
    </w:p>
    <w:p w14:paraId="060A13D8">
      <w:pPr>
        <w:pStyle w:val="1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562" w:firstLineChars="200"/>
        <w:jc w:val="both"/>
        <w:textAlignment w:val="auto"/>
        <w:outlineLvl w:val="9"/>
        <w:rPr>
          <w:rFonts w:asciiTheme="minorEastAsia" w:hAnsiTheme="minorEastAsia" w:eastAsiaTheme="minorEastAsia" w:cstheme="minorEastAsia"/>
          <w:color w:val="auto"/>
          <w:sz w:val="28"/>
          <w:szCs w:val="28"/>
          <w:highlight w:val="none"/>
        </w:rPr>
      </w:pPr>
      <w:bookmarkStart w:id="5" w:name="_Toc21869"/>
      <w:r>
        <w:rPr>
          <w:rFonts w:hint="eastAsia" w:asciiTheme="minorEastAsia" w:hAnsiTheme="minorEastAsia" w:eastAsiaTheme="minorEastAsia" w:cstheme="minorEastAsia"/>
          <w:color w:val="auto"/>
          <w:sz w:val="28"/>
          <w:szCs w:val="28"/>
          <w:highlight w:val="none"/>
        </w:rPr>
        <w:t>甲方联络通讯信息：</w:t>
      </w:r>
      <w:bookmarkEnd w:id="5"/>
    </w:p>
    <w:p w14:paraId="7A2768A3">
      <w:pPr>
        <w:pStyle w:val="1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jc w:val="both"/>
        <w:textAlignment w:val="auto"/>
        <w:outlineLvl w:val="9"/>
        <w:rPr>
          <w:rFonts w:asciiTheme="minorEastAsia" w:hAnsiTheme="minorEastAsia" w:eastAsiaTheme="minorEastAsia" w:cstheme="minorEastAsia"/>
          <w:b w:val="0"/>
          <w:bCs w:val="0"/>
          <w:color w:val="auto"/>
          <w:sz w:val="28"/>
          <w:szCs w:val="28"/>
          <w:highlight w:val="none"/>
          <w:u w:val="single"/>
          <w:lang w:val="en-US"/>
        </w:rPr>
      </w:pPr>
      <w:bookmarkStart w:id="6" w:name="_Toc2169"/>
      <w:r>
        <w:rPr>
          <w:rFonts w:hint="eastAsia" w:asciiTheme="minorEastAsia" w:hAnsiTheme="minorEastAsia" w:eastAsiaTheme="minorEastAsia" w:cstheme="minorEastAsia"/>
          <w:b w:val="0"/>
          <w:bCs w:val="0"/>
          <w:color w:val="auto"/>
          <w:sz w:val="28"/>
          <w:szCs w:val="28"/>
          <w:highlight w:val="none"/>
        </w:rPr>
        <w:t>联系人：</w:t>
      </w:r>
      <w:r>
        <w:rPr>
          <w:rFonts w:hint="eastAsia" w:asciiTheme="minorEastAsia" w:hAnsiTheme="minorEastAsia" w:eastAsiaTheme="minorEastAsia" w:cstheme="minorEastAsia"/>
          <w:b w:val="0"/>
          <w:bCs w:val="0"/>
          <w:color w:val="auto"/>
          <w:sz w:val="28"/>
          <w:szCs w:val="28"/>
          <w:highlight w:val="none"/>
          <w:u w:val="single"/>
          <w:lang w:val="en-US"/>
        </w:rPr>
        <w:t xml:space="preserve">                   </w:t>
      </w:r>
      <w:r>
        <w:rPr>
          <w:rFonts w:hint="eastAsia" w:asciiTheme="minorEastAsia" w:hAnsiTheme="minorEastAsia" w:eastAsiaTheme="minorEastAsia" w:cstheme="minorEastAsia"/>
          <w:b w:val="0"/>
          <w:bCs w:val="0"/>
          <w:color w:val="auto"/>
          <w:sz w:val="28"/>
          <w:szCs w:val="28"/>
          <w:highlight w:val="none"/>
          <w:lang w:val="en-US"/>
        </w:rPr>
        <w:t xml:space="preserve">  电子邮箱：</w:t>
      </w:r>
      <w:bookmarkEnd w:id="6"/>
      <w:r>
        <w:rPr>
          <w:rFonts w:hint="eastAsia" w:asciiTheme="minorEastAsia" w:hAnsiTheme="minorEastAsia" w:eastAsiaTheme="minorEastAsia" w:cstheme="minorEastAsia"/>
          <w:b w:val="0"/>
          <w:bCs w:val="0"/>
          <w:color w:val="auto"/>
          <w:sz w:val="28"/>
          <w:szCs w:val="28"/>
          <w:highlight w:val="none"/>
          <w:u w:val="single"/>
          <w:lang w:val="en-US"/>
        </w:rPr>
        <w:t xml:space="preserve">                    </w:t>
      </w:r>
    </w:p>
    <w:p w14:paraId="43BD2A84">
      <w:pPr>
        <w:pStyle w:val="1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jc w:val="both"/>
        <w:textAlignment w:val="auto"/>
        <w:outlineLvl w:val="9"/>
        <w:rPr>
          <w:rFonts w:asciiTheme="minorEastAsia" w:hAnsiTheme="minorEastAsia" w:eastAsiaTheme="minorEastAsia" w:cstheme="minorEastAsia"/>
          <w:b w:val="0"/>
          <w:bCs w:val="0"/>
          <w:color w:val="auto"/>
          <w:spacing w:val="15"/>
          <w:sz w:val="28"/>
          <w:szCs w:val="28"/>
          <w:highlight w:val="none"/>
          <w:u w:val="single"/>
          <w:lang w:val="en-US"/>
        </w:rPr>
      </w:pPr>
      <w:bookmarkStart w:id="7" w:name="_Toc26046"/>
      <w:r>
        <w:rPr>
          <w:rFonts w:hint="eastAsia" w:asciiTheme="minorEastAsia" w:hAnsiTheme="minorEastAsia" w:eastAsiaTheme="minorEastAsia" w:cstheme="minorEastAsia"/>
          <w:b w:val="0"/>
          <w:bCs w:val="0"/>
          <w:color w:val="auto"/>
          <w:sz w:val="28"/>
          <w:szCs w:val="28"/>
          <w:highlight w:val="none"/>
        </w:rPr>
        <w:t>电话：</w:t>
      </w:r>
      <w:r>
        <w:rPr>
          <w:rFonts w:hint="eastAsia" w:asciiTheme="minorEastAsia" w:hAnsiTheme="minorEastAsia" w:eastAsiaTheme="minorEastAsia" w:cstheme="minorEastAsia"/>
          <w:b w:val="0"/>
          <w:bCs w:val="0"/>
          <w:color w:val="auto"/>
          <w:sz w:val="28"/>
          <w:szCs w:val="28"/>
          <w:highlight w:val="none"/>
          <w:u w:val="single"/>
          <w:lang w:val="en-US"/>
        </w:rPr>
        <w:t xml:space="preserve">                   </w:t>
      </w:r>
      <w:r>
        <w:rPr>
          <w:rFonts w:hint="eastAsia" w:asciiTheme="minorEastAsia" w:hAnsiTheme="minorEastAsia" w:eastAsiaTheme="minorEastAsia" w:cstheme="minorEastAsia"/>
          <w:b w:val="0"/>
          <w:bCs w:val="0"/>
          <w:color w:val="auto"/>
          <w:sz w:val="28"/>
          <w:szCs w:val="28"/>
          <w:highlight w:val="none"/>
          <w:lang w:val="en-US"/>
        </w:rPr>
        <w:t xml:space="preserve">  </w:t>
      </w:r>
      <w:r>
        <w:rPr>
          <w:rFonts w:hint="eastAsia" w:asciiTheme="minorEastAsia" w:hAnsiTheme="minorEastAsia" w:eastAsiaTheme="minorEastAsia" w:cstheme="minorEastAsia"/>
          <w:b w:val="0"/>
          <w:bCs w:val="0"/>
          <w:color w:val="auto"/>
          <w:sz w:val="28"/>
          <w:szCs w:val="28"/>
          <w:highlight w:val="none"/>
        </w:rPr>
        <w:t>传真</w:t>
      </w:r>
      <w:r>
        <w:rPr>
          <w:rFonts w:hint="eastAsia" w:asciiTheme="minorEastAsia" w:hAnsiTheme="minorEastAsia" w:eastAsiaTheme="minorEastAsia" w:cstheme="minorEastAsia"/>
          <w:b w:val="0"/>
          <w:bCs w:val="0"/>
          <w:color w:val="auto"/>
          <w:spacing w:val="15"/>
          <w:sz w:val="28"/>
          <w:szCs w:val="28"/>
          <w:highlight w:val="none"/>
        </w:rPr>
        <w:t>：</w:t>
      </w:r>
      <w:bookmarkEnd w:id="7"/>
      <w:r>
        <w:rPr>
          <w:rFonts w:hint="eastAsia" w:asciiTheme="minorEastAsia" w:hAnsiTheme="minorEastAsia" w:eastAsiaTheme="minorEastAsia" w:cstheme="minorEastAsia"/>
          <w:b w:val="0"/>
          <w:bCs w:val="0"/>
          <w:color w:val="auto"/>
          <w:spacing w:val="15"/>
          <w:sz w:val="28"/>
          <w:szCs w:val="28"/>
          <w:highlight w:val="none"/>
          <w:u w:val="single"/>
          <w:lang w:val="en-US"/>
        </w:rPr>
        <w:t xml:space="preserve">                  </w:t>
      </w:r>
    </w:p>
    <w:p w14:paraId="6DD43A57">
      <w:pPr>
        <w:pStyle w:val="1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textAlignment w:val="auto"/>
        <w:outlineLvl w:val="9"/>
        <w:rPr>
          <w:rFonts w:ascii="Times New Roman" w:eastAsia="Times New Roman"/>
          <w:b w:val="0"/>
          <w:bCs w:val="0"/>
          <w:color w:val="auto"/>
          <w:highlight w:val="none"/>
        </w:rPr>
      </w:pPr>
      <w:bookmarkStart w:id="8" w:name="_Toc27493"/>
      <w:bookmarkStart w:id="9" w:name="_Toc5628_WPSOffice_Level1"/>
      <w:bookmarkStart w:id="10" w:name="_Toc26491_WPSOffice_Level1"/>
      <w:bookmarkStart w:id="11" w:name="_Toc31020_WPSOffice_Level1"/>
      <w:bookmarkStart w:id="12" w:name="_Toc27226_WPSOffice_Level1"/>
      <w:r>
        <w:rPr>
          <w:rFonts w:hint="eastAsia" w:asciiTheme="minorEastAsia" w:hAnsiTheme="minorEastAsia" w:eastAsiaTheme="minorEastAsia" w:cstheme="minorEastAsia"/>
          <w:b w:val="0"/>
          <w:bCs w:val="0"/>
          <w:color w:val="auto"/>
          <w:sz w:val="28"/>
          <w:szCs w:val="28"/>
          <w:highlight w:val="none"/>
        </w:rPr>
        <w:t>联</w:t>
      </w:r>
      <w:r>
        <w:rPr>
          <w:rFonts w:hint="eastAsia" w:asciiTheme="minorEastAsia" w:hAnsiTheme="minorEastAsia" w:eastAsiaTheme="minorEastAsia" w:cstheme="minorEastAsia"/>
          <w:b w:val="0"/>
          <w:bCs w:val="0"/>
          <w:color w:val="auto"/>
          <w:spacing w:val="15"/>
          <w:sz w:val="28"/>
          <w:szCs w:val="28"/>
          <w:highlight w:val="none"/>
        </w:rPr>
        <w:t>系</w:t>
      </w:r>
      <w:r>
        <w:rPr>
          <w:rFonts w:hint="eastAsia" w:asciiTheme="minorEastAsia" w:hAnsiTheme="minorEastAsia" w:eastAsiaTheme="minorEastAsia" w:cstheme="minorEastAsia"/>
          <w:b w:val="0"/>
          <w:bCs w:val="0"/>
          <w:color w:val="auto"/>
          <w:spacing w:val="-145"/>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rPr>
        <w:t>地址</w:t>
      </w:r>
      <w:r>
        <w:rPr>
          <w:rFonts w:hint="eastAsia" w:asciiTheme="minorEastAsia" w:hAnsiTheme="minorEastAsia" w:eastAsiaTheme="minorEastAsia" w:cstheme="minorEastAsia"/>
          <w:b w:val="0"/>
          <w:bCs w:val="0"/>
          <w:color w:val="auto"/>
          <w:spacing w:val="15"/>
          <w:sz w:val="28"/>
          <w:szCs w:val="28"/>
          <w:highlight w:val="none"/>
        </w:rPr>
        <w:t>：</w:t>
      </w:r>
      <w:bookmarkEnd w:id="8"/>
      <w:bookmarkEnd w:id="9"/>
      <w:bookmarkEnd w:id="10"/>
      <w:bookmarkEnd w:id="11"/>
      <w:bookmarkEnd w:id="12"/>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rPr>
        <w:tab/>
      </w:r>
      <w:r>
        <w:rPr>
          <w:rFonts w:hint="eastAsia" w:asciiTheme="minorEastAsia" w:hAnsiTheme="minorEastAsia" w:eastAsiaTheme="minorEastAsia" w:cstheme="minorEastAsia"/>
          <w:b w:val="0"/>
          <w:bCs w:val="0"/>
          <w:color w:val="auto"/>
          <w:sz w:val="28"/>
          <w:szCs w:val="28"/>
          <w:highlight w:val="none"/>
          <w:u w:val="single"/>
        </w:rPr>
        <w:tab/>
      </w:r>
    </w:p>
    <w:p w14:paraId="3EC4BD2D">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left="0" w:leftChars="0" w:firstLine="560" w:firstLineChars="200"/>
        <w:textAlignment w:val="auto"/>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（2）乙方</w:t>
      </w: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rPr>
        <w:t>即售电公司</w:t>
      </w:r>
      <w:r>
        <w:rPr>
          <w:rFonts w:asciiTheme="minorEastAsia" w:hAnsiTheme="minorEastAsia"/>
          <w:color w:val="auto"/>
          <w:sz w:val="28"/>
          <w:szCs w:val="28"/>
          <w:highlight w:val="none"/>
        </w:rPr>
        <w:t>）：</w:t>
      </w:r>
      <w:r>
        <w:rPr>
          <w:rFonts w:hint="eastAsia" w:ascii="宋体" w:hAnsi="宋体"/>
          <w:color w:val="auto"/>
          <w:sz w:val="28"/>
          <w:szCs w:val="28"/>
          <w:highlight w:val="none"/>
          <w:u w:val="single"/>
        </w:rPr>
        <w:t xml:space="preserve">                </w:t>
      </w: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rPr>
        <w:t>企业代码：</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企业所在地为</w:t>
      </w:r>
      <w:r>
        <w:rPr>
          <w:rFonts w:hint="eastAsia" w:asciiTheme="minorEastAsia" w:hAnsiTheme="minorEastAsia"/>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asciiTheme="minorEastAsia" w:hAnsiTheme="minorEastAsia"/>
          <w:color w:val="auto"/>
          <w:sz w:val="28"/>
          <w:szCs w:val="28"/>
          <w:highlight w:val="none"/>
        </w:rPr>
        <w:t>在工商行政管理局</w:t>
      </w:r>
      <w:r>
        <w:rPr>
          <w:rFonts w:hint="eastAsia" w:asciiTheme="minorEastAsia" w:hAnsiTheme="minorEastAsia"/>
          <w:color w:val="auto"/>
          <w:sz w:val="28"/>
          <w:szCs w:val="28"/>
          <w:highlight w:val="none"/>
          <w:lang w:val="en-US" w:eastAsia="zh-CN"/>
        </w:rPr>
        <w:t>/市场监督管理机构</w:t>
      </w:r>
      <w:r>
        <w:rPr>
          <w:rFonts w:asciiTheme="minorEastAsia" w:hAnsiTheme="minorEastAsia"/>
          <w:color w:val="auto"/>
          <w:sz w:val="28"/>
          <w:szCs w:val="28"/>
          <w:highlight w:val="none"/>
        </w:rPr>
        <w:t>登记注册，</w:t>
      </w:r>
      <w:r>
        <w:rPr>
          <w:rFonts w:hint="eastAsia" w:asciiTheme="minorEastAsia" w:hAnsiTheme="minorEastAsia"/>
          <w:color w:val="auto"/>
          <w:sz w:val="28"/>
          <w:szCs w:val="28"/>
          <w:highlight w:val="none"/>
        </w:rPr>
        <w:t>已按相关法规要求完成“一注册、一承诺、一公示、三备案”流程，按规定履行交易信用保证，具备售电资格，</w:t>
      </w:r>
      <w:r>
        <w:rPr>
          <w:rFonts w:asciiTheme="minorEastAsia" w:hAnsiTheme="minorEastAsia"/>
          <w:color w:val="auto"/>
          <w:sz w:val="28"/>
          <w:szCs w:val="28"/>
          <w:highlight w:val="none"/>
        </w:rPr>
        <w:t>统一社会信用代码（</w:t>
      </w:r>
      <w:r>
        <w:rPr>
          <w:rFonts w:hint="eastAsia" w:asciiTheme="minorEastAsia" w:hAnsiTheme="minorEastAsia"/>
          <w:color w:val="auto"/>
          <w:sz w:val="28"/>
          <w:szCs w:val="28"/>
          <w:highlight w:val="none"/>
        </w:rPr>
        <w:t>组织机构代码</w:t>
      </w:r>
      <w:r>
        <w:rPr>
          <w:rFonts w:asciiTheme="minorEastAsia" w:hAnsiTheme="minorEastAsia"/>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，法定代表人（企业负责人）：</w:t>
      </w:r>
      <w:r>
        <w:rPr>
          <w:rFonts w:hint="eastAsia" w:ascii="宋体" w:hAnsi="宋体"/>
          <w:color w:val="auto"/>
          <w:sz w:val="28"/>
          <w:szCs w:val="28"/>
          <w:highlight w:val="none"/>
          <w:u w:val="single"/>
        </w:rPr>
        <w:t xml:space="preserve">             </w:t>
      </w:r>
      <w:r>
        <w:rPr>
          <w:rFonts w:hint="eastAsia" w:asciiTheme="minorEastAsia" w:hAnsiTheme="minorEastAsia"/>
          <w:color w:val="auto"/>
          <w:sz w:val="28"/>
          <w:szCs w:val="28"/>
          <w:highlight w:val="none"/>
        </w:rPr>
        <w:t>。</w:t>
      </w:r>
    </w:p>
    <w:p w14:paraId="4AA01C54">
      <w:pPr>
        <w:pStyle w:val="14"/>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562" w:firstLineChars="200"/>
        <w:jc w:val="both"/>
        <w:textAlignment w:val="auto"/>
        <w:outlineLvl w:val="9"/>
        <w:rPr>
          <w:rFonts w:asciiTheme="minorEastAsia" w:hAnsiTheme="minorEastAsia" w:eastAsiaTheme="minorEastAsia" w:cstheme="minorEastAsia"/>
          <w:color w:val="auto"/>
          <w:sz w:val="28"/>
          <w:szCs w:val="28"/>
          <w:highlight w:val="none"/>
        </w:rPr>
      </w:pPr>
      <w:bookmarkStart w:id="13" w:name="_Toc16379"/>
      <w:r>
        <w:rPr>
          <w:rFonts w:hint="eastAsia" w:asciiTheme="minorEastAsia" w:hAnsiTheme="minorEastAsia" w:eastAsiaTheme="minorEastAsia" w:cstheme="minorEastAsia"/>
          <w:color w:val="auto"/>
          <w:sz w:val="28"/>
          <w:szCs w:val="28"/>
          <w:highlight w:val="none"/>
        </w:rPr>
        <w:t>乙方联络通讯信息：</w:t>
      </w:r>
      <w:bookmarkEnd w:id="13"/>
    </w:p>
    <w:p w14:paraId="2D940ED1">
      <w:pPr>
        <w:pStyle w:val="1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3639" w:leftChars="266" w:hanging="3080" w:hangingChars="1100"/>
        <w:jc w:val="both"/>
        <w:textAlignment w:val="auto"/>
        <w:outlineLvl w:val="9"/>
        <w:rPr>
          <w:rFonts w:asciiTheme="minorEastAsia" w:hAnsiTheme="minorEastAsia" w:eastAsiaTheme="minorEastAsia" w:cstheme="minorEastAsia"/>
          <w:b w:val="0"/>
          <w:bCs w:val="0"/>
          <w:color w:val="auto"/>
          <w:sz w:val="28"/>
          <w:szCs w:val="28"/>
          <w:highlight w:val="none"/>
          <w:u w:val="single"/>
          <w:lang w:val="en-US"/>
        </w:rPr>
      </w:pPr>
      <w:bookmarkStart w:id="14" w:name="_Toc6087"/>
      <w:r>
        <w:rPr>
          <w:rFonts w:hint="eastAsia" w:asciiTheme="minorEastAsia" w:hAnsiTheme="minorEastAsia" w:eastAsiaTheme="minorEastAsia" w:cstheme="minorEastAsia"/>
          <w:b w:val="0"/>
          <w:bCs w:val="0"/>
          <w:color w:val="auto"/>
          <w:sz w:val="28"/>
          <w:szCs w:val="28"/>
          <w:highlight w:val="none"/>
        </w:rPr>
        <w:t>联系人：</w:t>
      </w:r>
      <w:r>
        <w:rPr>
          <w:rFonts w:hint="eastAsia" w:asciiTheme="minorEastAsia" w:hAnsiTheme="minorEastAsia" w:eastAsiaTheme="minorEastAsia" w:cstheme="minorEastAsia"/>
          <w:b w:val="0"/>
          <w:bCs w:val="0"/>
          <w:color w:val="auto"/>
          <w:sz w:val="28"/>
          <w:szCs w:val="28"/>
          <w:highlight w:val="none"/>
          <w:u w:val="single"/>
          <w:lang w:val="en-US"/>
        </w:rPr>
        <w:t xml:space="preserve">                   </w:t>
      </w:r>
      <w:r>
        <w:rPr>
          <w:rFonts w:hint="eastAsia" w:asciiTheme="minorEastAsia" w:hAnsiTheme="minorEastAsia" w:eastAsiaTheme="minorEastAsia" w:cstheme="minorEastAsia"/>
          <w:b w:val="0"/>
          <w:bCs w:val="0"/>
          <w:color w:val="auto"/>
          <w:sz w:val="28"/>
          <w:szCs w:val="28"/>
          <w:highlight w:val="none"/>
          <w:lang w:val="en-US"/>
        </w:rPr>
        <w:t>电子邮箱：</w:t>
      </w:r>
      <w:bookmarkEnd w:id="14"/>
      <w:r>
        <w:rPr>
          <w:rFonts w:hint="eastAsia" w:asciiTheme="minorEastAsia" w:hAnsiTheme="minorEastAsia" w:eastAsiaTheme="minorEastAsia" w:cstheme="minorEastAsia"/>
          <w:b w:val="0"/>
          <w:bCs w:val="0"/>
          <w:color w:val="auto"/>
          <w:sz w:val="28"/>
          <w:szCs w:val="28"/>
          <w:highlight w:val="none"/>
          <w:u w:val="single"/>
          <w:lang w:val="en-US"/>
        </w:rPr>
        <w:t xml:space="preserve">                   </w:t>
      </w:r>
    </w:p>
    <w:p w14:paraId="32E99B93">
      <w:pPr>
        <w:pStyle w:val="1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jc w:val="both"/>
        <w:textAlignment w:val="auto"/>
        <w:outlineLvl w:val="9"/>
        <w:rPr>
          <w:rFonts w:asciiTheme="minorEastAsia" w:hAnsiTheme="minorEastAsia" w:eastAsiaTheme="minorEastAsia" w:cstheme="minorEastAsia"/>
          <w:b w:val="0"/>
          <w:bCs w:val="0"/>
          <w:color w:val="auto"/>
          <w:spacing w:val="15"/>
          <w:sz w:val="28"/>
          <w:szCs w:val="28"/>
          <w:highlight w:val="none"/>
          <w:u w:val="single"/>
          <w:lang w:val="en-US"/>
        </w:rPr>
      </w:pPr>
      <w:bookmarkStart w:id="15" w:name="_Toc15660"/>
      <w:r>
        <w:rPr>
          <w:rFonts w:hint="eastAsia" w:asciiTheme="minorEastAsia" w:hAnsiTheme="minorEastAsia" w:eastAsiaTheme="minorEastAsia" w:cstheme="minorEastAsia"/>
          <w:b w:val="0"/>
          <w:bCs w:val="0"/>
          <w:color w:val="auto"/>
          <w:sz w:val="28"/>
          <w:szCs w:val="28"/>
          <w:highlight w:val="none"/>
        </w:rPr>
        <w:t>电话：</w:t>
      </w:r>
      <w:r>
        <w:rPr>
          <w:rFonts w:hint="eastAsia" w:asciiTheme="minorEastAsia" w:hAnsiTheme="minorEastAsia" w:eastAsiaTheme="minorEastAsia" w:cstheme="minorEastAsia"/>
          <w:b w:val="0"/>
          <w:bCs w:val="0"/>
          <w:color w:val="auto"/>
          <w:sz w:val="28"/>
          <w:szCs w:val="28"/>
          <w:highlight w:val="none"/>
          <w:u w:val="single"/>
          <w:lang w:val="en-US"/>
        </w:rPr>
        <w:t xml:space="preserve">                  </w:t>
      </w:r>
      <w:r>
        <w:rPr>
          <w:rFonts w:hint="eastAsia" w:asciiTheme="minorEastAsia" w:hAnsiTheme="minorEastAsia" w:eastAsiaTheme="minorEastAsia" w:cstheme="minorEastAsia"/>
          <w:b w:val="0"/>
          <w:bCs w:val="0"/>
          <w:color w:val="auto"/>
          <w:sz w:val="28"/>
          <w:szCs w:val="28"/>
          <w:highlight w:val="none"/>
          <w:lang w:val="en-US"/>
        </w:rPr>
        <w:t xml:space="preserve">  </w:t>
      </w:r>
      <w:r>
        <w:rPr>
          <w:rFonts w:hint="eastAsia" w:asciiTheme="minorEastAsia" w:hAnsiTheme="minorEastAsia" w:eastAsiaTheme="minorEastAsia" w:cstheme="minorEastAsia"/>
          <w:b w:val="0"/>
          <w:bCs w:val="0"/>
          <w:color w:val="auto"/>
          <w:sz w:val="28"/>
          <w:szCs w:val="28"/>
          <w:highlight w:val="none"/>
        </w:rPr>
        <w:t>传真</w:t>
      </w:r>
      <w:r>
        <w:rPr>
          <w:rFonts w:hint="eastAsia" w:asciiTheme="minorEastAsia" w:hAnsiTheme="minorEastAsia" w:eastAsiaTheme="minorEastAsia" w:cstheme="minorEastAsia"/>
          <w:b w:val="0"/>
          <w:bCs w:val="0"/>
          <w:color w:val="auto"/>
          <w:spacing w:val="15"/>
          <w:sz w:val="28"/>
          <w:szCs w:val="28"/>
          <w:highlight w:val="none"/>
        </w:rPr>
        <w:t>：</w:t>
      </w:r>
      <w:bookmarkEnd w:id="15"/>
      <w:r>
        <w:rPr>
          <w:rFonts w:hint="eastAsia" w:asciiTheme="minorEastAsia" w:hAnsiTheme="minorEastAsia" w:eastAsiaTheme="minorEastAsia" w:cstheme="minorEastAsia"/>
          <w:b w:val="0"/>
          <w:bCs w:val="0"/>
          <w:color w:val="auto"/>
          <w:spacing w:val="15"/>
          <w:sz w:val="28"/>
          <w:szCs w:val="28"/>
          <w:highlight w:val="none"/>
          <w:u w:val="single"/>
          <w:lang w:val="en-US"/>
        </w:rPr>
        <w:t xml:space="preserve">                   </w:t>
      </w:r>
    </w:p>
    <w:p w14:paraId="54AF6462">
      <w:pPr>
        <w:pStyle w:val="14"/>
        <w:keepNext w:val="0"/>
        <w:keepLines w:val="0"/>
        <w:pageBreakBefore w:val="0"/>
        <w:widowControl w:val="0"/>
        <w:tabs>
          <w:tab w:val="left" w:pos="1175"/>
          <w:tab w:val="left" w:pos="4684"/>
          <w:tab w:val="left" w:pos="9169"/>
        </w:tabs>
        <w:kinsoku/>
        <w:wordWrap/>
        <w:overflowPunct/>
        <w:topLinePunct w:val="0"/>
        <w:autoSpaceDE/>
        <w:autoSpaceDN/>
        <w:bidi w:val="0"/>
        <w:adjustRightInd/>
        <w:snapToGrid/>
        <w:spacing w:before="0" w:after="0" w:line="600" w:lineRule="exact"/>
        <w:ind w:left="0" w:leftChars="0" w:firstLine="560" w:firstLineChars="200"/>
        <w:jc w:val="both"/>
        <w:textAlignment w:val="auto"/>
        <w:outlineLvl w:val="9"/>
        <w:rPr>
          <w:rFonts w:hint="eastAsia" w:asciiTheme="minorEastAsia" w:hAnsiTheme="minorEastAsia" w:eastAsiaTheme="minorEastAsia" w:cstheme="minorEastAsia"/>
          <w:b w:val="0"/>
          <w:bCs w:val="0"/>
          <w:color w:val="auto"/>
          <w:sz w:val="28"/>
          <w:szCs w:val="28"/>
          <w:highlight w:val="none"/>
          <w:u w:val="single"/>
        </w:rPr>
      </w:pPr>
      <w:bookmarkStart w:id="16" w:name="_Toc32335"/>
      <w:r>
        <w:rPr>
          <w:rFonts w:hint="eastAsia" w:asciiTheme="minorEastAsia" w:hAnsiTheme="minorEastAsia" w:eastAsiaTheme="minorEastAsia" w:cstheme="minorEastAsia"/>
          <w:b w:val="0"/>
          <w:bCs w:val="0"/>
          <w:color w:val="auto"/>
          <w:sz w:val="28"/>
          <w:szCs w:val="28"/>
          <w:highlight w:val="none"/>
        </w:rPr>
        <w:t>联</w:t>
      </w:r>
      <w:r>
        <w:rPr>
          <w:rFonts w:hint="eastAsia" w:asciiTheme="minorEastAsia" w:hAnsiTheme="minorEastAsia" w:eastAsiaTheme="minorEastAsia" w:cstheme="minorEastAsia"/>
          <w:b w:val="0"/>
          <w:bCs w:val="0"/>
          <w:color w:val="auto"/>
          <w:spacing w:val="15"/>
          <w:sz w:val="28"/>
          <w:szCs w:val="28"/>
          <w:highlight w:val="none"/>
        </w:rPr>
        <w:t>系</w:t>
      </w:r>
      <w:r>
        <w:rPr>
          <w:rFonts w:hint="eastAsia" w:asciiTheme="minorEastAsia" w:hAnsiTheme="minorEastAsia" w:eastAsiaTheme="minorEastAsia" w:cstheme="minorEastAsia"/>
          <w:b w:val="0"/>
          <w:bCs w:val="0"/>
          <w:color w:val="auto"/>
          <w:spacing w:val="-145"/>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rPr>
        <w:t>地址</w:t>
      </w:r>
      <w:r>
        <w:rPr>
          <w:rFonts w:hint="eastAsia" w:asciiTheme="minorEastAsia" w:hAnsiTheme="minorEastAsia" w:eastAsiaTheme="minorEastAsia" w:cstheme="minorEastAsia"/>
          <w:b w:val="0"/>
          <w:bCs w:val="0"/>
          <w:color w:val="auto"/>
          <w:spacing w:val="15"/>
          <w:sz w:val="28"/>
          <w:szCs w:val="28"/>
          <w:highlight w:val="none"/>
        </w:rPr>
        <w:t>：</w:t>
      </w:r>
      <w:bookmarkEnd w:id="16"/>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rPr>
        <w:tab/>
      </w:r>
      <w:r>
        <w:rPr>
          <w:rFonts w:hint="eastAsia" w:asciiTheme="minorEastAsia" w:hAnsiTheme="minorEastAsia" w:eastAsiaTheme="minorEastAsia" w:cstheme="minorEastAsia"/>
          <w:b w:val="0"/>
          <w:bCs w:val="0"/>
          <w:color w:val="auto"/>
          <w:sz w:val="28"/>
          <w:szCs w:val="28"/>
          <w:highlight w:val="none"/>
          <w:u w:val="single"/>
        </w:rPr>
        <w:tab/>
      </w:r>
    </w:p>
    <w:p w14:paraId="2429AF3C">
      <w:pPr>
        <w:pStyle w:val="14"/>
        <w:keepNext w:val="0"/>
        <w:keepLines w:val="0"/>
        <w:pageBreakBefore w:val="0"/>
        <w:tabs>
          <w:tab w:val="left" w:pos="1175"/>
          <w:tab w:val="left" w:pos="4684"/>
          <w:tab w:val="left" w:pos="9169"/>
        </w:tabs>
        <w:kinsoku/>
        <w:wordWrap/>
        <w:overflowPunct/>
        <w:topLinePunct w:val="0"/>
        <w:autoSpaceDE/>
        <w:autoSpaceDN/>
        <w:bidi w:val="0"/>
        <w:adjustRightInd/>
        <w:spacing w:before="0" w:after="0" w:line="600" w:lineRule="exact"/>
        <w:ind w:left="0" w:leftChars="0" w:firstLine="560" w:firstLineChars="200"/>
        <w:jc w:val="both"/>
        <w:textAlignment w:val="auto"/>
        <w:outlineLvl w:val="9"/>
        <w:rPr>
          <w:rFonts w:hint="eastAsia" w:asciiTheme="minorEastAsia" w:hAnsiTheme="minorEastAsia" w:eastAsiaTheme="minorEastAsia" w:cstheme="minorEastAsia"/>
          <w:b w:val="0"/>
          <w:bCs w:val="0"/>
          <w:color w:val="auto"/>
          <w:sz w:val="28"/>
          <w:szCs w:val="28"/>
          <w:highlight w:val="none"/>
          <w:u w:val="single"/>
        </w:rPr>
      </w:pPr>
    </w:p>
    <w:p w14:paraId="4707869C">
      <w:pPr>
        <w:pStyle w:val="14"/>
        <w:keepNext w:val="0"/>
        <w:keepLines w:val="0"/>
        <w:pageBreakBefore w:val="0"/>
        <w:tabs>
          <w:tab w:val="left" w:pos="1175"/>
          <w:tab w:val="left" w:pos="4684"/>
          <w:tab w:val="left" w:pos="9169"/>
        </w:tabs>
        <w:kinsoku/>
        <w:wordWrap/>
        <w:overflowPunct/>
        <w:topLinePunct w:val="0"/>
        <w:autoSpaceDE/>
        <w:autoSpaceDN/>
        <w:bidi w:val="0"/>
        <w:adjustRightInd/>
        <w:spacing w:before="0" w:after="0" w:line="600" w:lineRule="exact"/>
        <w:ind w:left="0" w:leftChars="0" w:firstLine="560" w:firstLineChars="200"/>
        <w:jc w:val="both"/>
        <w:textAlignment w:val="auto"/>
        <w:outlineLvl w:val="9"/>
        <w:rPr>
          <w:rFonts w:hint="eastAsia" w:asciiTheme="minorEastAsia" w:hAnsiTheme="minorEastAsia" w:eastAsiaTheme="minorEastAsia" w:cstheme="minorEastAsia"/>
          <w:b w:val="0"/>
          <w:bCs w:val="0"/>
          <w:color w:val="auto"/>
          <w:sz w:val="28"/>
          <w:szCs w:val="28"/>
          <w:highlight w:val="none"/>
          <w:u w:val="single"/>
        </w:rPr>
      </w:pPr>
    </w:p>
    <w:p w14:paraId="591C5D59">
      <w:pPr>
        <w:pStyle w:val="14"/>
        <w:keepNext w:val="0"/>
        <w:keepLines w:val="0"/>
        <w:pageBreakBefore w:val="0"/>
        <w:tabs>
          <w:tab w:val="left" w:pos="1175"/>
          <w:tab w:val="left" w:pos="4684"/>
          <w:tab w:val="left" w:pos="9169"/>
        </w:tabs>
        <w:kinsoku/>
        <w:wordWrap/>
        <w:overflowPunct/>
        <w:topLinePunct w:val="0"/>
        <w:autoSpaceDE/>
        <w:autoSpaceDN/>
        <w:bidi w:val="0"/>
        <w:adjustRightInd/>
        <w:spacing w:before="0" w:after="0" w:line="600" w:lineRule="exact"/>
        <w:ind w:left="0" w:leftChars="0" w:firstLine="560" w:firstLineChars="200"/>
        <w:jc w:val="both"/>
        <w:textAlignment w:val="auto"/>
        <w:outlineLvl w:val="9"/>
        <w:rPr>
          <w:rFonts w:hint="eastAsia" w:asciiTheme="minorEastAsia" w:hAnsiTheme="minorEastAsia" w:eastAsiaTheme="minorEastAsia" w:cstheme="minorEastAsia"/>
          <w:b w:val="0"/>
          <w:bCs w:val="0"/>
          <w:color w:val="auto"/>
          <w:sz w:val="28"/>
          <w:szCs w:val="28"/>
          <w:highlight w:val="none"/>
          <w:u w:val="single"/>
        </w:rPr>
      </w:pPr>
    </w:p>
    <w:p w14:paraId="51B3414C">
      <w:pPr>
        <w:pStyle w:val="60"/>
        <w:keepNext w:val="0"/>
        <w:keepLines w:val="0"/>
        <w:pageBreakBefore w:val="0"/>
        <w:tabs>
          <w:tab w:val="right" w:leader="dot" w:pos="10530"/>
        </w:tabs>
        <w:kinsoku/>
        <w:wordWrap/>
        <w:overflowPunct/>
        <w:topLinePunct w:val="0"/>
        <w:autoSpaceDE/>
        <w:autoSpaceDN/>
        <w:bidi w:val="0"/>
        <w:adjustRightInd/>
        <w:spacing w:line="600" w:lineRule="exact"/>
        <w:ind w:left="0" w:leftChars="0" w:firstLine="560" w:firstLineChars="200"/>
        <w:jc w:val="both"/>
        <w:textAlignment w:val="auto"/>
        <w:rPr>
          <w:color w:val="auto"/>
          <w:highlight w:val="none"/>
        </w:rPr>
      </w:pPr>
      <w:r>
        <w:rPr>
          <w:rFonts w:hint="eastAsia" w:asciiTheme="minorEastAsia" w:hAnsiTheme="minorEastAsia" w:eastAsiaTheme="minorEastAsia" w:cstheme="minorEastAsia"/>
          <w:color w:val="auto"/>
          <w:sz w:val="28"/>
          <w:szCs w:val="28"/>
          <w:highlight w:val="none"/>
        </w:rPr>
        <w:t>甲乙</w:t>
      </w:r>
      <w:r>
        <w:rPr>
          <w:rFonts w:hint="eastAsia" w:asciiTheme="minorEastAsia" w:hAnsiTheme="minorEastAsia" w:eastAsiaTheme="minorEastAsia"/>
          <w:color w:val="auto"/>
          <w:sz w:val="28"/>
          <w:szCs w:val="28"/>
          <w:highlight w:val="none"/>
        </w:rPr>
        <w:t>双方根据国家有关法律、法规，按照电力交易规则、年度市场化交易实施方案以及交易公告等，本着平等、自愿</w:t>
      </w:r>
      <w:r>
        <w:rPr>
          <w:rFonts w:asciiTheme="minorEastAsia" w:hAnsiTheme="minorEastAsia" w:eastAsiaTheme="minorEastAsia"/>
          <w:color w:val="auto"/>
          <w:sz w:val="28"/>
          <w:szCs w:val="28"/>
          <w:highlight w:val="none"/>
        </w:rPr>
        <w:t>、公平和</w:t>
      </w:r>
      <w:r>
        <w:rPr>
          <w:rFonts w:hint="eastAsia" w:asciiTheme="minorEastAsia" w:hAnsiTheme="minorEastAsia" w:eastAsiaTheme="minorEastAsia"/>
          <w:color w:val="auto"/>
          <w:sz w:val="28"/>
          <w:szCs w:val="28"/>
          <w:highlight w:val="none"/>
        </w:rPr>
        <w:t>诚信的原则，经协商一致，签订</w:t>
      </w:r>
      <w:r>
        <w:rPr>
          <w:rFonts w:hint="eastAsia" w:asciiTheme="minorEastAsia" w:hAnsiTheme="minorEastAsia" w:eastAsiaTheme="minorEastAsia"/>
          <w:color w:val="auto"/>
          <w:sz w:val="28"/>
          <w:szCs w:val="28"/>
          <w:highlight w:val="none"/>
          <w:lang w:val="en-US" w:eastAsia="zh-CN"/>
        </w:rPr>
        <w:t>本合同</w:t>
      </w:r>
      <w:r>
        <w:rPr>
          <w:rFonts w:hint="eastAsia" w:asciiTheme="minorEastAsia" w:hAnsiTheme="minorEastAsia" w:eastAsiaTheme="minorEastAsia"/>
          <w:color w:val="auto"/>
          <w:sz w:val="28"/>
          <w:szCs w:val="28"/>
          <w:highlight w:val="none"/>
        </w:rPr>
        <w:t>。</w:t>
      </w:r>
    </w:p>
    <w:p w14:paraId="59D3A35A">
      <w:pPr>
        <w:pStyle w:val="58"/>
        <w:keepNext w:val="0"/>
        <w:keepLines w:val="0"/>
        <w:pageBreakBefore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hint="default" w:ascii="黑体" w:hAnsi="黑体" w:eastAsia="黑体" w:cs="黑体"/>
          <w:color w:val="auto"/>
          <w:sz w:val="30"/>
          <w:szCs w:val="30"/>
          <w:highlight w:val="none"/>
          <w:lang w:val="en-US" w:eastAsia="zh-CN"/>
        </w:rPr>
      </w:pPr>
      <w:bookmarkStart w:id="17" w:name="_Toc13336_WPSOffice_Level1"/>
      <w:bookmarkStart w:id="18" w:name="_Toc20117_WPSOffice_Level1"/>
      <w:bookmarkStart w:id="19" w:name="_Toc16353"/>
      <w:r>
        <w:rPr>
          <w:rFonts w:hint="eastAsia" w:ascii="黑体" w:hAnsi="黑体" w:eastAsia="黑体" w:cs="黑体"/>
          <w:color w:val="auto"/>
          <w:sz w:val="30"/>
          <w:szCs w:val="30"/>
          <w:highlight w:val="none"/>
        </w:rPr>
        <w:t>第1章　</w:t>
      </w:r>
      <w:bookmarkEnd w:id="0"/>
      <w:r>
        <w:rPr>
          <w:rFonts w:hint="eastAsia" w:ascii="黑体" w:hAnsi="黑体" w:eastAsia="黑体" w:cs="黑体"/>
          <w:color w:val="auto"/>
          <w:sz w:val="30"/>
          <w:szCs w:val="30"/>
          <w:highlight w:val="none"/>
        </w:rPr>
        <w:t>定义</w:t>
      </w:r>
      <w:r>
        <w:rPr>
          <w:rFonts w:hint="eastAsia" w:ascii="黑体" w:hAnsi="黑体" w:eastAsia="黑体" w:cs="黑体"/>
          <w:color w:val="auto"/>
          <w:sz w:val="30"/>
          <w:szCs w:val="30"/>
          <w:highlight w:val="none"/>
          <w:lang w:eastAsia="zh-CN"/>
        </w:rPr>
        <w:t>、</w:t>
      </w:r>
      <w:r>
        <w:rPr>
          <w:rFonts w:hint="eastAsia" w:ascii="黑体" w:hAnsi="黑体" w:eastAsia="黑体" w:cs="黑体"/>
          <w:color w:val="auto"/>
          <w:sz w:val="30"/>
          <w:szCs w:val="30"/>
          <w:highlight w:val="none"/>
        </w:rPr>
        <w:t>说明</w:t>
      </w:r>
      <w:bookmarkEnd w:id="1"/>
      <w:bookmarkEnd w:id="2"/>
      <w:bookmarkEnd w:id="17"/>
      <w:bookmarkEnd w:id="18"/>
      <w:r>
        <w:rPr>
          <w:rFonts w:hint="eastAsia" w:ascii="黑体" w:hAnsi="黑体" w:eastAsia="黑体" w:cs="黑体"/>
          <w:color w:val="auto"/>
          <w:sz w:val="30"/>
          <w:szCs w:val="30"/>
          <w:highlight w:val="none"/>
          <w:lang w:val="en-US" w:eastAsia="zh-CN"/>
        </w:rPr>
        <w:t>和风险提示</w:t>
      </w:r>
      <w:bookmarkEnd w:id="19"/>
    </w:p>
    <w:p w14:paraId="66309B13">
      <w:pPr>
        <w:keepNext w:val="0"/>
        <w:keepLines w:val="0"/>
        <w:pageBreakBefore w:val="0"/>
        <w:kinsoku/>
        <w:wordWrap/>
        <w:overflowPunct/>
        <w:topLinePunct w:val="0"/>
        <w:autoSpaceDE/>
        <w:autoSpaceDN/>
        <w:bidi w:val="0"/>
        <w:adjustRightInd/>
        <w:spacing w:line="600" w:lineRule="exact"/>
        <w:ind w:left="0" w:leftChars="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　　1.1定义</w:t>
      </w:r>
    </w:p>
    <w:p w14:paraId="2F120C43">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1.1.1</w:t>
      </w:r>
      <w:r>
        <w:rPr>
          <w:rFonts w:hint="eastAsia" w:asciiTheme="minorEastAsia" w:hAnsiTheme="minorEastAsia"/>
          <w:color w:val="auto"/>
          <w:sz w:val="28"/>
          <w:szCs w:val="28"/>
          <w:highlight w:val="none"/>
        </w:rPr>
        <w:t>电力零售交易：是指售电公司与电力用户之间进行的购售电交易活动。</w:t>
      </w:r>
    </w:p>
    <w:p w14:paraId="267763C0">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1.1.2</w:t>
      </w:r>
      <w:r>
        <w:rPr>
          <w:rFonts w:asciiTheme="minorEastAsia" w:hAnsiTheme="minorEastAsia"/>
          <w:color w:val="auto"/>
          <w:sz w:val="28"/>
          <w:szCs w:val="28"/>
          <w:highlight w:val="none"/>
        </w:rPr>
        <w:t>计量点：指</w:t>
      </w:r>
      <w:r>
        <w:rPr>
          <w:rFonts w:hint="eastAsia" w:asciiTheme="minorEastAsia" w:hAnsiTheme="minorEastAsia"/>
          <w:color w:val="auto"/>
          <w:sz w:val="28"/>
          <w:szCs w:val="28"/>
          <w:highlight w:val="none"/>
        </w:rPr>
        <w:t>本合同涉及的用户侧计量点，以电力用户与电网企业在《供用电合同》中约定</w:t>
      </w:r>
      <w:r>
        <w:rPr>
          <w:rFonts w:asciiTheme="minorEastAsia" w:hAnsiTheme="minorEastAsia"/>
          <w:color w:val="auto"/>
          <w:sz w:val="28"/>
          <w:szCs w:val="28"/>
          <w:highlight w:val="none"/>
        </w:rPr>
        <w:t>的电能计量装置关口表安装位置</w:t>
      </w:r>
      <w:r>
        <w:rPr>
          <w:rFonts w:hint="eastAsia" w:asciiTheme="minorEastAsia" w:hAnsiTheme="minorEastAsia"/>
          <w:color w:val="auto"/>
          <w:sz w:val="28"/>
          <w:szCs w:val="28"/>
          <w:highlight w:val="none"/>
        </w:rPr>
        <w:t>为准</w:t>
      </w:r>
      <w:r>
        <w:rPr>
          <w:rFonts w:asciiTheme="minorEastAsia" w:hAnsiTheme="minorEastAsia"/>
          <w:color w:val="auto"/>
          <w:sz w:val="28"/>
          <w:szCs w:val="28"/>
          <w:highlight w:val="none"/>
        </w:rPr>
        <w:t>。</w:t>
      </w:r>
    </w:p>
    <w:p w14:paraId="031CC512">
      <w:pPr>
        <w:keepNext w:val="0"/>
        <w:keepLines w:val="0"/>
        <w:pageBreakBefore w:val="0"/>
        <w:kinsoku/>
        <w:wordWrap/>
        <w:overflowPunct/>
        <w:topLinePunct w:val="0"/>
        <w:autoSpaceDE/>
        <w:autoSpaceDN/>
        <w:bidi w:val="0"/>
        <w:adjustRightInd/>
        <w:spacing w:line="600" w:lineRule="exact"/>
        <w:ind w:left="0" w:leftChars="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　　1.1.</w:t>
      </w: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紧急情况：指电力系统发生事故或发电、输配电、用电设备发生重大事故，电网频率或者电压超出规定范围，输变电设备负载超过规定值，主干线路功率超出规定的稳定限额以及其他威胁电网安全运行，有可能破坏电网稳定，导致电网瓦解以至大面积停电等运行情况，并且该情况在结束后得到电力监管机构确认。</w:t>
      </w:r>
    </w:p>
    <w:p w14:paraId="49760989">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1.1.</w:t>
      </w:r>
      <w:r>
        <w:rPr>
          <w:rFonts w:hint="eastAsia" w:asciiTheme="minorEastAsia" w:hAnsiTheme="minorEastAsia"/>
          <w:color w:val="auto"/>
          <w:sz w:val="28"/>
          <w:szCs w:val="28"/>
          <w:highlight w:val="none"/>
        </w:rPr>
        <w:t>4工作日：指除星期六、星期日及法定节假日以外的公历日。</w:t>
      </w:r>
    </w:p>
    <w:p w14:paraId="6ED64522">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1.1.5</w:t>
      </w:r>
      <w:r>
        <w:rPr>
          <w:rFonts w:asciiTheme="minorEastAsia" w:hAnsiTheme="minorEastAsia"/>
          <w:color w:val="auto"/>
          <w:sz w:val="28"/>
          <w:szCs w:val="28"/>
          <w:highlight w:val="none"/>
        </w:rPr>
        <w:t>不可抗力：指不能预见、不能避免并不能克服的客观情况。包括：火山爆发、龙卷风、海啸、暴风雨、泥石流、山体滑坡、水灾、火灾、超设计标准的地震、台风、雷电、雾闪</w:t>
      </w:r>
      <w:r>
        <w:rPr>
          <w:rFonts w:hint="eastAsia" w:asciiTheme="minorEastAsia" w:hAnsiTheme="minorEastAsia"/>
          <w:color w:val="auto"/>
          <w:sz w:val="28"/>
          <w:szCs w:val="28"/>
          <w:highlight w:val="none"/>
        </w:rPr>
        <w:t>等，电力市场技术支持相关系统发生重大故障、政府行为</w:t>
      </w:r>
      <w:r>
        <w:rPr>
          <w:rFonts w:asciiTheme="minorEastAsia" w:hAnsiTheme="minorEastAsia"/>
          <w:color w:val="auto"/>
          <w:sz w:val="28"/>
          <w:szCs w:val="28"/>
          <w:highlight w:val="none"/>
        </w:rPr>
        <w:t>以及核辐射、战争、瘟疫、骚乱等。</w:t>
      </w:r>
    </w:p>
    <w:p w14:paraId="7E72C2FF">
      <w:pPr>
        <w:keepNext w:val="0"/>
        <w:keepLines w:val="0"/>
        <w:pageBreakBefore w:val="0"/>
        <w:kinsoku/>
        <w:wordWrap/>
        <w:overflowPunct/>
        <w:topLinePunct w:val="0"/>
        <w:autoSpaceDE/>
        <w:autoSpaceDN/>
        <w:bidi w:val="0"/>
        <w:adjustRightInd/>
        <w:spacing w:line="600" w:lineRule="exact"/>
        <w:ind w:left="0" w:leftChars="0" w:firstLine="560"/>
        <w:textAlignment w:val="auto"/>
        <w:rPr>
          <w:rFonts w:hint="default"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1.1.6</w:t>
      </w:r>
      <w:r>
        <w:rPr>
          <w:rFonts w:asciiTheme="minorEastAsia" w:hAnsiTheme="minorEastAsia"/>
          <w:color w:val="auto"/>
          <w:sz w:val="28"/>
          <w:szCs w:val="28"/>
          <w:highlight w:val="none"/>
        </w:rPr>
        <w:t>日前市场月度加权平均综合价：指当月日前市场各时段统一结算点电价和对应时段市场总电量的加权平均价格。</w:t>
      </w:r>
    </w:p>
    <w:p w14:paraId="0FEFADBE">
      <w:pPr>
        <w:keepNext w:val="0"/>
        <w:keepLines w:val="0"/>
        <w:pageBreakBefore w:val="0"/>
        <w:kinsoku/>
        <w:wordWrap/>
        <w:overflowPunct/>
        <w:topLinePunct w:val="0"/>
        <w:autoSpaceDE/>
        <w:autoSpaceDN/>
        <w:bidi w:val="0"/>
        <w:adjustRightInd/>
        <w:spacing w:line="600" w:lineRule="exact"/>
        <w:ind w:left="0" w:leftChars="0" w:firstLine="560"/>
        <w:textAlignment w:val="auto"/>
        <w:rPr>
          <w:rFonts w:hint="eastAsia"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val="en-US" w:eastAsia="zh-CN"/>
        </w:rPr>
        <w:t>1.1.7</w:t>
      </w:r>
      <w:r>
        <w:rPr>
          <w:rFonts w:hint="eastAsia" w:ascii="宋体" w:hAnsi="宋体" w:eastAsia="宋体" w:cs="宋体"/>
          <w:color w:val="auto"/>
          <w:sz w:val="28"/>
          <w:szCs w:val="28"/>
          <w:highlight w:val="none"/>
          <w:shd w:val="clear" w:color="auto" w:fill="FFFFFF"/>
          <w:lang w:val="en-US" w:eastAsia="zh-CN"/>
        </w:rPr>
        <w:t>直接交易</w:t>
      </w:r>
      <w:r>
        <w:rPr>
          <w:rFonts w:hint="default" w:ascii="宋体" w:hAnsi="宋体" w:eastAsia="宋体" w:cs="宋体"/>
          <w:color w:val="auto"/>
          <w:sz w:val="28"/>
          <w:szCs w:val="28"/>
          <w:highlight w:val="none"/>
          <w:shd w:val="clear" w:color="auto" w:fill="FFFFFF"/>
          <w:lang w:val="en-US" w:eastAsia="zh-CN"/>
        </w:rPr>
        <w:t>月度集中交易加权平均价</w:t>
      </w:r>
      <w:r>
        <w:rPr>
          <w:rFonts w:hint="eastAsia" w:asciiTheme="minorEastAsia" w:hAnsiTheme="minorEastAsia"/>
          <w:color w:val="auto"/>
          <w:sz w:val="28"/>
          <w:szCs w:val="28"/>
          <w:highlight w:val="none"/>
          <w:lang w:eastAsia="zh-CN"/>
        </w:rPr>
        <w:t>：指交易中心发布的</w:t>
      </w:r>
      <w:r>
        <w:rPr>
          <w:rFonts w:hint="eastAsia" w:asciiTheme="minorEastAsia" w:hAnsiTheme="minorEastAsia"/>
          <w:color w:val="auto"/>
          <w:sz w:val="28"/>
          <w:szCs w:val="28"/>
          <w:highlight w:val="none"/>
          <w:lang w:val="en-US" w:eastAsia="zh-CN"/>
        </w:rPr>
        <w:t>直接交易</w:t>
      </w:r>
      <w:r>
        <w:rPr>
          <w:rFonts w:hint="eastAsia" w:asciiTheme="minorEastAsia" w:hAnsiTheme="minorEastAsia"/>
          <w:color w:val="auto"/>
          <w:sz w:val="28"/>
          <w:szCs w:val="28"/>
          <w:highlight w:val="none"/>
          <w:lang w:eastAsia="zh-CN"/>
        </w:rPr>
        <w:t>当月月度集中</w:t>
      </w:r>
      <w:r>
        <w:rPr>
          <w:rFonts w:hint="eastAsia" w:asciiTheme="minorEastAsia" w:hAnsiTheme="minorEastAsia"/>
          <w:color w:val="auto"/>
          <w:sz w:val="28"/>
          <w:szCs w:val="28"/>
          <w:highlight w:val="none"/>
          <w:lang w:val="en-US" w:eastAsia="zh-CN"/>
        </w:rPr>
        <w:t>交易加权平均</w:t>
      </w:r>
      <w:r>
        <w:rPr>
          <w:rFonts w:hint="eastAsia" w:asciiTheme="minorEastAsia" w:hAnsiTheme="minorEastAsia"/>
          <w:color w:val="auto"/>
          <w:sz w:val="28"/>
          <w:szCs w:val="28"/>
          <w:highlight w:val="none"/>
          <w:lang w:eastAsia="zh-CN"/>
        </w:rPr>
        <w:t>价。</w:t>
      </w:r>
    </w:p>
    <w:p w14:paraId="3C7955C5">
      <w:pPr>
        <w:keepNext w:val="0"/>
        <w:keepLines w:val="0"/>
        <w:pageBreakBefore w:val="0"/>
        <w:kinsoku/>
        <w:wordWrap/>
        <w:overflowPunct/>
        <w:topLinePunct w:val="0"/>
        <w:autoSpaceDE/>
        <w:autoSpaceDN/>
        <w:bidi w:val="0"/>
        <w:adjustRightInd/>
        <w:spacing w:line="600" w:lineRule="exact"/>
        <w:ind w:left="0" w:leftChars="0" w:firstLine="56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1.1.8</w:t>
      </w:r>
      <w:r>
        <w:rPr>
          <w:rFonts w:hint="default" w:ascii="宋体" w:hAnsi="宋体" w:eastAsia="宋体" w:cs="宋体"/>
          <w:color w:val="auto"/>
          <w:sz w:val="28"/>
          <w:szCs w:val="28"/>
          <w:highlight w:val="none"/>
          <w:shd w:val="clear" w:color="auto" w:fill="FFFFFF"/>
          <w:lang w:val="en-US" w:eastAsia="zh-CN"/>
        </w:rPr>
        <w:t>直接交易月度加权平均价</w:t>
      </w:r>
      <w:r>
        <w:rPr>
          <w:rFonts w:hint="eastAsia" w:asciiTheme="minorEastAsia" w:hAnsiTheme="minorEastAsia"/>
          <w:color w:val="auto"/>
          <w:sz w:val="28"/>
          <w:szCs w:val="28"/>
          <w:highlight w:val="none"/>
          <w:lang w:eastAsia="zh-CN"/>
        </w:rPr>
        <w:t>：指交易中心</w:t>
      </w:r>
      <w:r>
        <w:rPr>
          <w:rFonts w:hint="eastAsia" w:asciiTheme="minorEastAsia" w:hAnsiTheme="minorEastAsia"/>
          <w:color w:val="auto"/>
          <w:sz w:val="28"/>
          <w:szCs w:val="28"/>
          <w:highlight w:val="none"/>
          <w:lang w:val="en-US" w:eastAsia="zh-CN"/>
        </w:rPr>
        <w:t>发布的直接交易当月月度</w:t>
      </w:r>
      <w:r>
        <w:rPr>
          <w:rFonts w:hint="eastAsia" w:asciiTheme="minorEastAsia" w:hAnsiTheme="minorEastAsia"/>
          <w:color w:val="auto"/>
          <w:sz w:val="28"/>
          <w:szCs w:val="28"/>
          <w:highlight w:val="none"/>
        </w:rPr>
        <w:t>加权</w:t>
      </w:r>
      <w:r>
        <w:rPr>
          <w:rFonts w:hint="eastAsia" w:asciiTheme="minorEastAsia" w:hAnsiTheme="minorEastAsia"/>
          <w:color w:val="auto"/>
          <w:sz w:val="28"/>
          <w:szCs w:val="28"/>
          <w:highlight w:val="none"/>
          <w:lang w:val="en-US" w:eastAsia="zh-CN"/>
        </w:rPr>
        <w:t>平均价</w:t>
      </w:r>
      <w:r>
        <w:rPr>
          <w:rFonts w:hint="eastAsia" w:asciiTheme="minorEastAsia" w:hAnsiTheme="minorEastAsia"/>
          <w:color w:val="auto"/>
          <w:sz w:val="28"/>
          <w:szCs w:val="28"/>
          <w:highlight w:val="none"/>
        </w:rPr>
        <w:t>。</w:t>
      </w:r>
    </w:p>
    <w:p w14:paraId="13010E6A">
      <w:pPr>
        <w:keepNext w:val="0"/>
        <w:keepLines w:val="0"/>
        <w:pageBreakBefore w:val="0"/>
        <w:kinsoku/>
        <w:wordWrap/>
        <w:overflowPunct/>
        <w:topLinePunct w:val="0"/>
        <w:autoSpaceDE/>
        <w:autoSpaceDN/>
        <w:bidi w:val="0"/>
        <w:adjustRightInd/>
        <w:spacing w:line="600" w:lineRule="exact"/>
        <w:ind w:left="0" w:leftChars="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　　1.2</w:t>
      </w:r>
      <w:r>
        <w:rPr>
          <w:rFonts w:hint="eastAsia" w:asciiTheme="minorEastAsia" w:hAnsiTheme="minorEastAsia"/>
          <w:color w:val="auto"/>
          <w:sz w:val="28"/>
          <w:szCs w:val="28"/>
          <w:highlight w:val="none"/>
        </w:rPr>
        <w:t>说明</w:t>
      </w:r>
    </w:p>
    <w:p w14:paraId="26913C22">
      <w:pPr>
        <w:keepNext w:val="0"/>
        <w:keepLines w:val="0"/>
        <w:pageBreakBefore w:val="0"/>
        <w:kinsoku/>
        <w:wordWrap/>
        <w:overflowPunct/>
        <w:topLinePunct w:val="0"/>
        <w:autoSpaceDE/>
        <w:autoSpaceDN/>
        <w:bidi w:val="0"/>
        <w:adjustRightInd/>
        <w:spacing w:line="600" w:lineRule="exact"/>
        <w:ind w:left="0" w:leftChars="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　　1.2.1本合同中的标题仅为阅读方便，不应被视为本合同的组成部分，亦不应以任何方式影响对本合同的解释。</w:t>
      </w:r>
    </w:p>
    <w:p w14:paraId="1955C860">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1.2.2</w:t>
      </w:r>
      <w:r>
        <w:rPr>
          <w:rFonts w:asciiTheme="minorEastAsia" w:hAnsiTheme="minorEastAsia"/>
          <w:color w:val="auto"/>
          <w:sz w:val="28"/>
          <w:szCs w:val="28"/>
          <w:highlight w:val="none"/>
        </w:rPr>
        <w:t>本合同附件与正文具有同等的法律效力。</w:t>
      </w:r>
    </w:p>
    <w:p w14:paraId="27220EBB">
      <w:pPr>
        <w:keepNext w:val="0"/>
        <w:keepLines w:val="0"/>
        <w:pageBreakBefore w:val="0"/>
        <w:kinsoku/>
        <w:wordWrap/>
        <w:overflowPunct/>
        <w:topLinePunct w:val="0"/>
        <w:autoSpaceDE/>
        <w:autoSpaceDN/>
        <w:bidi w:val="0"/>
        <w:adjustRightInd/>
        <w:spacing w:line="600" w:lineRule="exact"/>
        <w:ind w:left="0" w:leftChars="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　　1.2.</w:t>
      </w: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本合同对</w:t>
      </w:r>
      <w:r>
        <w:rPr>
          <w:rFonts w:hint="eastAsia" w:asciiTheme="minorEastAsia" w:hAnsiTheme="minorEastAsia"/>
          <w:color w:val="auto"/>
          <w:sz w:val="28"/>
          <w:szCs w:val="28"/>
          <w:highlight w:val="none"/>
        </w:rPr>
        <w:t>任一方</w:t>
      </w:r>
      <w:r>
        <w:rPr>
          <w:rFonts w:asciiTheme="minorEastAsia" w:hAnsiTheme="minorEastAsia"/>
          <w:color w:val="auto"/>
          <w:sz w:val="28"/>
          <w:szCs w:val="28"/>
          <w:highlight w:val="none"/>
        </w:rPr>
        <w:t>的合法承继者或受让人具有约束力。但</w:t>
      </w:r>
      <w:r>
        <w:rPr>
          <w:rFonts w:hint="eastAsia" w:asciiTheme="minorEastAsia" w:hAnsiTheme="minorEastAsia"/>
          <w:color w:val="auto"/>
          <w:sz w:val="28"/>
          <w:szCs w:val="28"/>
          <w:highlight w:val="none"/>
        </w:rPr>
        <w:t>国家及海南电力市场有关政策、交易规则以及政策制度文件另有规定或本合同</w:t>
      </w:r>
      <w:r>
        <w:rPr>
          <w:rFonts w:asciiTheme="minorEastAsia" w:hAnsiTheme="minorEastAsia"/>
          <w:color w:val="auto"/>
          <w:sz w:val="28"/>
          <w:szCs w:val="28"/>
          <w:highlight w:val="none"/>
        </w:rPr>
        <w:t>当事人另有约定的除外。</w:t>
      </w:r>
    </w:p>
    <w:p w14:paraId="668F95E0">
      <w:pPr>
        <w:keepNext w:val="0"/>
        <w:keepLines w:val="0"/>
        <w:pageBreakBefore w:val="0"/>
        <w:kinsoku/>
        <w:wordWrap/>
        <w:overflowPunct/>
        <w:topLinePunct w:val="0"/>
        <w:autoSpaceDE/>
        <w:autoSpaceDN/>
        <w:bidi w:val="0"/>
        <w:adjustRightInd/>
        <w:spacing w:line="600" w:lineRule="exact"/>
        <w:ind w:left="0" w:leftChars="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　　遇有本款约定的情形时，相关义务人应当依法履行必要的通知义务及完备的法律手续。</w:t>
      </w:r>
    </w:p>
    <w:p w14:paraId="5F6A552E">
      <w:pPr>
        <w:keepNext w:val="0"/>
        <w:keepLines w:val="0"/>
        <w:pageBreakBefore w:val="0"/>
        <w:kinsoku/>
        <w:wordWrap/>
        <w:overflowPunct/>
        <w:topLinePunct w:val="0"/>
        <w:autoSpaceDE/>
        <w:autoSpaceDN/>
        <w:bidi w:val="0"/>
        <w:adjustRightInd/>
        <w:spacing w:line="600" w:lineRule="exact"/>
        <w:ind w:left="0" w:leftChars="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　　1.2.</w:t>
      </w: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除上下文另有要求外，本合同所指日、月、年均为公历日、月、年。</w:t>
      </w:r>
    </w:p>
    <w:p w14:paraId="402D5F7F">
      <w:pPr>
        <w:keepNext w:val="0"/>
        <w:keepLines w:val="0"/>
        <w:pageBreakBefore w:val="0"/>
        <w:kinsoku/>
        <w:wordWrap/>
        <w:overflowPunct/>
        <w:topLinePunct w:val="0"/>
        <w:autoSpaceDE/>
        <w:autoSpaceDN/>
        <w:bidi w:val="0"/>
        <w:adjustRightInd/>
        <w:spacing w:line="600" w:lineRule="exact"/>
        <w:ind w:left="0" w:leftChars="0" w:firstLine="56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1.2.</w:t>
      </w: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合同中的“包括”一词指：包括但不限于。</w:t>
      </w:r>
    </w:p>
    <w:p w14:paraId="6C5847C5">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eastAsia" w:asciiTheme="minorEastAsia" w:hAnsiTheme="minorEastAsia"/>
          <w:color w:val="auto"/>
          <w:sz w:val="28"/>
          <w:szCs w:val="28"/>
          <w:highlight w:val="none"/>
          <w:lang w:val="en-US" w:eastAsia="zh-CN"/>
        </w:rPr>
      </w:pPr>
      <w:r>
        <w:rPr>
          <w:rFonts w:hint="default" w:asciiTheme="minorEastAsia" w:hAnsiTheme="minorEastAsia"/>
          <w:color w:val="auto"/>
          <w:sz w:val="28"/>
          <w:szCs w:val="28"/>
          <w:highlight w:val="none"/>
          <w:lang w:val="en-US" w:eastAsia="zh-CN"/>
        </w:rPr>
        <w:t>1.3</w:t>
      </w:r>
      <w:r>
        <w:rPr>
          <w:rFonts w:hint="eastAsia" w:asciiTheme="minorEastAsia" w:hAnsiTheme="minorEastAsia"/>
          <w:color w:val="auto"/>
          <w:sz w:val="28"/>
          <w:szCs w:val="28"/>
          <w:highlight w:val="none"/>
          <w:lang w:val="en-US" w:eastAsia="zh-CN"/>
        </w:rPr>
        <w:t>风险提示</w:t>
      </w:r>
    </w:p>
    <w:p w14:paraId="4639BE46">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Theme="minorEastAsia" w:hAnsiTheme="minorEastAsia"/>
          <w:color w:val="auto"/>
          <w:sz w:val="28"/>
          <w:szCs w:val="28"/>
          <w:highlight w:val="none"/>
          <w:lang w:val="en-US"/>
        </w:rPr>
      </w:pPr>
      <w:r>
        <w:rPr>
          <w:rFonts w:hint="eastAsia" w:asciiTheme="minorEastAsia" w:hAnsiTheme="minorEastAsia"/>
          <w:color w:val="auto"/>
          <w:sz w:val="28"/>
          <w:szCs w:val="28"/>
          <w:highlight w:val="none"/>
          <w:lang w:val="en-US" w:eastAsia="zh-CN"/>
        </w:rPr>
        <w:t>1.3.1</w:t>
      </w:r>
      <w:r>
        <w:rPr>
          <w:rFonts w:hint="default" w:asciiTheme="minorEastAsia" w:hAnsiTheme="minorEastAsia"/>
          <w:color w:val="auto"/>
          <w:sz w:val="28"/>
          <w:szCs w:val="28"/>
          <w:highlight w:val="none"/>
          <w:lang w:val="en-US"/>
        </w:rPr>
        <w:t>本合同中仅约定电能量电费</w:t>
      </w:r>
      <w:r>
        <w:rPr>
          <w:rFonts w:hint="eastAsia" w:asciiTheme="minorEastAsia" w:hAnsiTheme="minorEastAsia" w:cstheme="minorEastAsia"/>
          <w:color w:val="auto"/>
          <w:sz w:val="28"/>
          <w:szCs w:val="28"/>
          <w:highlight w:val="none"/>
          <w:lang w:val="en-US" w:eastAsia="zh-CN"/>
        </w:rPr>
        <w:t>和</w:t>
      </w:r>
      <w:r>
        <w:rPr>
          <w:rFonts w:hint="eastAsia" w:asciiTheme="minorEastAsia" w:hAnsiTheme="minorEastAsia" w:cstheme="minorEastAsia"/>
          <w:color w:val="auto"/>
          <w:sz w:val="28"/>
          <w:szCs w:val="28"/>
          <w:highlight w:val="none"/>
        </w:rPr>
        <w:t>环境溢价（绿证价格）电费</w:t>
      </w:r>
      <w:r>
        <w:rPr>
          <w:rFonts w:hint="default" w:asciiTheme="minorEastAsia" w:hAnsiTheme="minorEastAsia"/>
          <w:color w:val="auto"/>
          <w:sz w:val="28"/>
          <w:szCs w:val="28"/>
          <w:highlight w:val="none"/>
          <w:lang w:val="en-US"/>
        </w:rPr>
        <w:t>，非用户最终到户电费</w:t>
      </w:r>
      <w:r>
        <w:rPr>
          <w:rFonts w:hint="eastAsia" w:asciiTheme="minorEastAsia" w:hAnsiTheme="minorEastAsia"/>
          <w:color w:val="auto"/>
          <w:sz w:val="28"/>
          <w:szCs w:val="28"/>
          <w:highlight w:val="none"/>
          <w:lang w:val="en-US" w:eastAsia="zh-CN"/>
        </w:rPr>
        <w:t>，</w:t>
      </w:r>
      <w:r>
        <w:rPr>
          <w:rFonts w:hint="default" w:asciiTheme="minorEastAsia" w:hAnsiTheme="minorEastAsia"/>
          <w:color w:val="auto"/>
          <w:sz w:val="28"/>
          <w:szCs w:val="28"/>
          <w:highlight w:val="none"/>
        </w:rPr>
        <w:t>用户最终到户电费还包括上网环节线损费用、输配电价、系统运行费用、政府性基金及附加</w:t>
      </w:r>
      <w:r>
        <w:rPr>
          <w:rFonts w:hint="eastAsia" w:asciiTheme="minorEastAsia" w:hAnsiTheme="minorEastAsia"/>
          <w:color w:val="auto"/>
          <w:sz w:val="28"/>
          <w:szCs w:val="28"/>
          <w:highlight w:val="none"/>
          <w:lang w:val="en-US" w:eastAsia="zh-CN"/>
        </w:rPr>
        <w:t>等</w:t>
      </w:r>
      <w:r>
        <w:rPr>
          <w:rFonts w:hint="default" w:asciiTheme="minorEastAsia" w:hAnsiTheme="minorEastAsia"/>
          <w:color w:val="auto"/>
          <w:sz w:val="28"/>
          <w:szCs w:val="28"/>
          <w:highlight w:val="none"/>
        </w:rPr>
        <w:t>。其中，系统运行费用包括辅助服务费用、抽水蓄能容量电费等</w:t>
      </w:r>
      <w:r>
        <w:rPr>
          <w:rFonts w:hint="default" w:asciiTheme="minorEastAsia" w:hAnsiTheme="minorEastAsia"/>
          <w:color w:val="auto"/>
          <w:sz w:val="28"/>
          <w:szCs w:val="28"/>
          <w:highlight w:val="none"/>
          <w:lang w:val="en-US"/>
        </w:rPr>
        <w:t>。</w:t>
      </w:r>
      <w:r>
        <w:rPr>
          <w:rFonts w:hint="default" w:asciiTheme="minorEastAsia" w:hAnsiTheme="minorEastAsia"/>
          <w:color w:val="auto"/>
          <w:sz w:val="28"/>
          <w:szCs w:val="28"/>
          <w:highlight w:val="none"/>
        </w:rPr>
        <w:t>根据《国家发展改革委 国家能源局关于建立煤电容量电价机制的通知》（发改价格〔2023〕1501号）等文件精神，有关工商业用户分摊容量电费</w:t>
      </w:r>
      <w:r>
        <w:rPr>
          <w:rFonts w:hint="eastAsia" w:asciiTheme="minorEastAsia" w:hAnsiTheme="minorEastAsia"/>
          <w:color w:val="auto"/>
          <w:sz w:val="28"/>
          <w:szCs w:val="28"/>
          <w:highlight w:val="none"/>
          <w:lang w:val="en-US" w:eastAsia="zh-CN"/>
        </w:rPr>
        <w:t>按海南省政府印发方案执行</w:t>
      </w:r>
      <w:r>
        <w:rPr>
          <w:rFonts w:hint="default" w:asciiTheme="minorEastAsia" w:hAnsiTheme="minorEastAsia"/>
          <w:color w:val="auto"/>
          <w:sz w:val="28"/>
          <w:szCs w:val="28"/>
          <w:highlight w:val="none"/>
        </w:rPr>
        <w:t>。</w:t>
      </w:r>
      <w:r>
        <w:rPr>
          <w:rFonts w:hint="default" w:asciiTheme="minorEastAsia" w:hAnsiTheme="minorEastAsia"/>
          <w:color w:val="auto"/>
          <w:sz w:val="28"/>
          <w:szCs w:val="28"/>
          <w:highlight w:val="none"/>
          <w:lang w:val="en-US"/>
        </w:rPr>
        <w:t xml:space="preserve">用户在签订合同前请综合评估叠加各部分电费后的用电成本。 </w:t>
      </w:r>
    </w:p>
    <w:p w14:paraId="557284CC">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Theme="minorEastAsia" w:hAnsiTheme="minorEastAsia"/>
          <w:color w:val="auto"/>
          <w:sz w:val="28"/>
          <w:szCs w:val="28"/>
          <w:highlight w:val="none"/>
          <w:lang w:val="en-US"/>
        </w:rPr>
      </w:pPr>
      <w:r>
        <w:rPr>
          <w:rFonts w:hint="eastAsia" w:asciiTheme="minorEastAsia" w:hAnsiTheme="minorEastAsia"/>
          <w:color w:val="auto"/>
          <w:sz w:val="28"/>
          <w:szCs w:val="28"/>
          <w:highlight w:val="none"/>
          <w:lang w:val="en-US" w:eastAsia="zh-CN"/>
        </w:rPr>
        <w:t>1.3.2</w:t>
      </w:r>
      <w:r>
        <w:rPr>
          <w:rFonts w:hint="default" w:asciiTheme="minorEastAsia" w:hAnsiTheme="minorEastAsia"/>
          <w:color w:val="auto"/>
          <w:sz w:val="28"/>
          <w:szCs w:val="28"/>
          <w:highlight w:val="none"/>
          <w:lang w:val="en-US"/>
        </w:rPr>
        <w:t>交易中心依据此合同约定进行结算。若双方另行签订的其他合同与本合同不一致所造成的双方损失或争议，由双方通过协商或司法途径处理解决。</w:t>
      </w:r>
    </w:p>
    <w:p w14:paraId="398ECC2A">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Theme="minorEastAsia" w:hAnsiTheme="minorEastAsia"/>
          <w:color w:val="auto"/>
          <w:sz w:val="28"/>
          <w:szCs w:val="28"/>
          <w:highlight w:val="none"/>
          <w:lang w:val="en-US"/>
        </w:rPr>
      </w:pPr>
      <w:r>
        <w:rPr>
          <w:rFonts w:hint="eastAsia" w:asciiTheme="minorEastAsia" w:hAnsiTheme="minorEastAsia"/>
          <w:color w:val="auto"/>
          <w:sz w:val="28"/>
          <w:szCs w:val="28"/>
          <w:highlight w:val="none"/>
          <w:lang w:val="en-US" w:eastAsia="zh-CN"/>
        </w:rPr>
        <w:t>1.3.3</w:t>
      </w:r>
      <w:r>
        <w:rPr>
          <w:rFonts w:hint="default" w:asciiTheme="minorEastAsia" w:hAnsiTheme="minorEastAsia"/>
          <w:color w:val="auto"/>
          <w:sz w:val="28"/>
          <w:szCs w:val="28"/>
          <w:highlight w:val="none"/>
          <w:lang w:val="en-US"/>
        </w:rPr>
        <w:t>本合同</w:t>
      </w:r>
      <w:r>
        <w:rPr>
          <w:rFonts w:hint="eastAsia" w:asciiTheme="minorEastAsia" w:hAnsiTheme="minorEastAsia"/>
          <w:color w:val="auto"/>
          <w:sz w:val="28"/>
          <w:szCs w:val="28"/>
          <w:highlight w:val="none"/>
          <w:lang w:val="en-US" w:eastAsia="zh-CN"/>
        </w:rPr>
        <w:t>签订后需在交易平台</w:t>
      </w:r>
      <w:r>
        <w:rPr>
          <w:rFonts w:hint="default" w:asciiTheme="minorEastAsia" w:hAnsiTheme="minorEastAsia"/>
          <w:color w:val="auto"/>
          <w:sz w:val="28"/>
          <w:szCs w:val="28"/>
          <w:highlight w:val="none"/>
        </w:rPr>
        <w:t>进行零售关键信息登记</w:t>
      </w:r>
      <w:r>
        <w:rPr>
          <w:rFonts w:hint="default" w:asciiTheme="minorEastAsia" w:hAnsiTheme="minorEastAsia"/>
          <w:color w:val="auto"/>
          <w:sz w:val="28"/>
          <w:szCs w:val="28"/>
          <w:highlight w:val="none"/>
          <w:lang w:val="en-US"/>
        </w:rPr>
        <w:t>，请各经营主体谨慎妥善使用</w:t>
      </w:r>
      <w:r>
        <w:rPr>
          <w:rFonts w:hint="eastAsia" w:asciiTheme="minorEastAsia" w:hAnsiTheme="minorEastAsia"/>
          <w:color w:val="auto"/>
          <w:sz w:val="28"/>
          <w:szCs w:val="28"/>
          <w:highlight w:val="none"/>
          <w:lang w:val="en-US" w:eastAsia="zh-CN"/>
        </w:rPr>
        <w:t>登记</w:t>
      </w:r>
      <w:r>
        <w:rPr>
          <w:rFonts w:hint="default" w:asciiTheme="minorEastAsia" w:hAnsiTheme="minorEastAsia"/>
          <w:color w:val="auto"/>
          <w:sz w:val="28"/>
          <w:szCs w:val="28"/>
          <w:highlight w:val="none"/>
          <w:lang w:val="en-US"/>
        </w:rPr>
        <w:t>过程中须用到的验证码、</w:t>
      </w:r>
      <w:r>
        <w:rPr>
          <w:rFonts w:hint="eastAsia" w:asciiTheme="minorEastAsia" w:hAnsiTheme="minorEastAsia"/>
          <w:color w:val="auto"/>
          <w:sz w:val="28"/>
          <w:szCs w:val="28"/>
          <w:highlight w:val="none"/>
          <w:lang w:val="en-US" w:eastAsia="zh-CN"/>
        </w:rPr>
        <w:t>身份证、</w:t>
      </w:r>
      <w:r>
        <w:rPr>
          <w:rFonts w:hint="default" w:asciiTheme="minorEastAsia" w:hAnsiTheme="minorEastAsia"/>
          <w:color w:val="auto"/>
          <w:sz w:val="28"/>
          <w:szCs w:val="28"/>
          <w:highlight w:val="none"/>
          <w:lang w:val="en-US"/>
        </w:rPr>
        <w:t>人脸识别等信息，切勿泄露、配合、提供给其他方或相对方使用。</w:t>
      </w:r>
    </w:p>
    <w:p w14:paraId="75E4B0AF">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Theme="minorEastAsia" w:hAnsiTheme="minorEastAsia"/>
          <w:color w:val="auto"/>
          <w:sz w:val="28"/>
          <w:szCs w:val="28"/>
          <w:highlight w:val="none"/>
          <w:lang w:val="en-US"/>
        </w:rPr>
      </w:pPr>
      <w:r>
        <w:rPr>
          <w:rFonts w:hint="eastAsia" w:asciiTheme="minorEastAsia" w:hAnsiTheme="minorEastAsia"/>
          <w:color w:val="auto"/>
          <w:sz w:val="28"/>
          <w:szCs w:val="28"/>
          <w:highlight w:val="none"/>
          <w:lang w:val="en-US" w:eastAsia="zh-CN"/>
        </w:rPr>
        <w:t>1.3.4</w:t>
      </w:r>
      <w:r>
        <w:rPr>
          <w:rFonts w:hint="default" w:asciiTheme="minorEastAsia" w:hAnsiTheme="minorEastAsia"/>
          <w:color w:val="auto"/>
          <w:sz w:val="28"/>
          <w:szCs w:val="28"/>
          <w:highlight w:val="none"/>
          <w:lang w:val="en-US"/>
        </w:rPr>
        <w:t>电力用户应合理选择零售</w:t>
      </w:r>
      <w:r>
        <w:rPr>
          <w:rFonts w:hint="eastAsia" w:asciiTheme="minorEastAsia" w:hAnsiTheme="minorEastAsia"/>
          <w:color w:val="auto"/>
          <w:sz w:val="28"/>
          <w:szCs w:val="28"/>
          <w:highlight w:val="none"/>
          <w:lang w:val="en-US" w:eastAsia="zh-CN"/>
        </w:rPr>
        <w:t>套餐</w:t>
      </w:r>
      <w:r>
        <w:rPr>
          <w:rFonts w:hint="default" w:asciiTheme="minorEastAsia" w:hAnsiTheme="minorEastAsia"/>
          <w:color w:val="auto"/>
          <w:sz w:val="28"/>
          <w:szCs w:val="28"/>
          <w:highlight w:val="none"/>
          <w:lang w:val="en-US"/>
        </w:rPr>
        <w:t>。签订</w:t>
      </w:r>
      <w:r>
        <w:rPr>
          <w:rFonts w:hint="eastAsia" w:asciiTheme="minorEastAsia" w:hAnsiTheme="minorEastAsia"/>
          <w:color w:val="auto"/>
          <w:sz w:val="28"/>
          <w:szCs w:val="28"/>
          <w:highlight w:val="none"/>
          <w:lang w:val="en-US" w:eastAsia="zh-CN"/>
        </w:rPr>
        <w:t>固定价格+</w:t>
      </w:r>
      <w:r>
        <w:rPr>
          <w:rFonts w:hint="default" w:asciiTheme="minorEastAsia" w:hAnsiTheme="minorEastAsia"/>
          <w:color w:val="auto"/>
          <w:sz w:val="28"/>
          <w:szCs w:val="28"/>
          <w:highlight w:val="none"/>
          <w:lang w:val="en-US"/>
        </w:rPr>
        <w:t>市场联动</w:t>
      </w:r>
      <w:r>
        <w:rPr>
          <w:rFonts w:hint="eastAsia" w:asciiTheme="minorEastAsia" w:hAnsiTheme="minorEastAsia"/>
          <w:color w:val="auto"/>
          <w:sz w:val="28"/>
          <w:szCs w:val="28"/>
          <w:highlight w:val="none"/>
          <w:lang w:val="en-US" w:eastAsia="zh-CN"/>
        </w:rPr>
        <w:t>套餐</w:t>
      </w:r>
      <w:r>
        <w:rPr>
          <w:rFonts w:hint="default" w:asciiTheme="minorEastAsia" w:hAnsiTheme="minorEastAsia"/>
          <w:color w:val="auto"/>
          <w:sz w:val="28"/>
          <w:szCs w:val="28"/>
          <w:highlight w:val="none"/>
          <w:lang w:val="en-US"/>
        </w:rPr>
        <w:t>时，若高比例电量联动市场价格，电力用户用电价格会随批发市场价格可能有较大幅度的升高或降低。</w:t>
      </w:r>
    </w:p>
    <w:p w14:paraId="7A3A2E3A">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Theme="minorEastAsia" w:hAnsiTheme="minorEastAsia"/>
          <w:color w:val="auto"/>
          <w:sz w:val="28"/>
          <w:szCs w:val="28"/>
          <w:highlight w:val="none"/>
          <w:lang w:val="en-US"/>
        </w:rPr>
      </w:pPr>
      <w:r>
        <w:rPr>
          <w:rFonts w:hint="eastAsia" w:asciiTheme="minorEastAsia" w:hAnsiTheme="minorEastAsia"/>
          <w:color w:val="auto"/>
          <w:sz w:val="28"/>
          <w:szCs w:val="28"/>
          <w:highlight w:val="none"/>
          <w:lang w:val="en-US" w:eastAsia="zh-CN"/>
        </w:rPr>
        <w:t>1.3.5</w:t>
      </w:r>
      <w:r>
        <w:rPr>
          <w:rFonts w:hint="default" w:asciiTheme="minorEastAsia" w:hAnsiTheme="minorEastAsia"/>
          <w:color w:val="auto"/>
          <w:sz w:val="28"/>
          <w:szCs w:val="28"/>
          <w:highlight w:val="none"/>
          <w:lang w:val="en-US"/>
        </w:rPr>
        <w:t>售电公司应综合考虑</w:t>
      </w:r>
      <w:r>
        <w:rPr>
          <w:rFonts w:hint="eastAsia" w:asciiTheme="minorEastAsia" w:hAnsiTheme="minorEastAsia"/>
          <w:color w:val="auto"/>
          <w:sz w:val="28"/>
          <w:szCs w:val="28"/>
          <w:highlight w:val="none"/>
          <w:lang w:val="en-US" w:eastAsia="zh-CN"/>
        </w:rPr>
        <w:t>在</w:t>
      </w:r>
      <w:r>
        <w:rPr>
          <w:rFonts w:hint="default" w:asciiTheme="minorEastAsia" w:hAnsiTheme="minorEastAsia"/>
          <w:color w:val="auto"/>
          <w:sz w:val="28"/>
          <w:szCs w:val="28"/>
          <w:highlight w:val="none"/>
          <w:lang w:val="en-US"/>
        </w:rPr>
        <w:t>批发市场</w:t>
      </w:r>
      <w:r>
        <w:rPr>
          <w:rFonts w:hint="eastAsia" w:asciiTheme="minorEastAsia" w:hAnsiTheme="minorEastAsia"/>
          <w:color w:val="auto"/>
          <w:sz w:val="28"/>
          <w:szCs w:val="28"/>
          <w:highlight w:val="none"/>
          <w:lang w:val="en-US" w:eastAsia="zh-CN"/>
        </w:rPr>
        <w:t>中的偏差考核及</w:t>
      </w:r>
      <w:r>
        <w:rPr>
          <w:rFonts w:hint="default" w:asciiTheme="minorEastAsia" w:hAnsiTheme="minorEastAsia"/>
          <w:color w:val="auto"/>
          <w:sz w:val="28"/>
          <w:szCs w:val="28"/>
          <w:highlight w:val="none"/>
          <w:lang w:val="en-US"/>
        </w:rPr>
        <w:t>分摊电费等购电成本，与零售用户协商确定零售合同价格及参数。</w:t>
      </w:r>
    </w:p>
    <w:p w14:paraId="07A7D797">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1.3.6</w:t>
      </w:r>
      <w:r>
        <w:rPr>
          <w:rFonts w:hint="default" w:asciiTheme="minorEastAsia" w:hAnsiTheme="minorEastAsia"/>
          <w:color w:val="auto"/>
          <w:sz w:val="28"/>
          <w:szCs w:val="28"/>
          <w:highlight w:val="none"/>
          <w:lang w:val="en-US"/>
        </w:rPr>
        <w:t>对于上述风险提示，合同双方均已认真阅读、完全理解并同意，合同签署即视为知悉并同意上述风险提示的全部内容。</w:t>
      </w:r>
    </w:p>
    <w:p w14:paraId="3C58477E">
      <w:pPr>
        <w:pStyle w:val="58"/>
        <w:keepNext w:val="0"/>
        <w:keepLines w:val="0"/>
        <w:pageBreakBefore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20" w:name="_Toc18406_WPSOffice_Level1"/>
      <w:bookmarkStart w:id="21" w:name="_Toc24936"/>
      <w:bookmarkStart w:id="22" w:name="_Toc16308"/>
      <w:bookmarkStart w:id="23" w:name="_Toc32217"/>
      <w:bookmarkStart w:id="24" w:name="_Toc4667"/>
      <w:bookmarkStart w:id="25" w:name="_Toc8350_WPSOffice_Level1"/>
      <w:r>
        <w:rPr>
          <w:rFonts w:hint="eastAsia" w:ascii="黑体" w:hAnsi="黑体" w:eastAsia="黑体" w:cs="黑体"/>
          <w:color w:val="auto"/>
          <w:sz w:val="30"/>
          <w:szCs w:val="30"/>
          <w:highlight w:val="none"/>
        </w:rPr>
        <w:t>第2章　双方承诺</w:t>
      </w:r>
      <w:bookmarkEnd w:id="3"/>
      <w:bookmarkEnd w:id="4"/>
      <w:bookmarkEnd w:id="20"/>
      <w:bookmarkEnd w:id="21"/>
      <w:bookmarkEnd w:id="22"/>
      <w:bookmarkEnd w:id="23"/>
      <w:bookmarkEnd w:id="24"/>
      <w:bookmarkEnd w:id="25"/>
    </w:p>
    <w:p w14:paraId="4C6795E9">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bookmarkStart w:id="26" w:name="_Toc17598"/>
      <w:bookmarkStart w:id="27" w:name="_Toc12350"/>
      <w:bookmarkStart w:id="28" w:name="_Toc5373"/>
      <w:bookmarkStart w:id="29" w:name="_Toc32342"/>
      <w:r>
        <w:rPr>
          <w:rFonts w:hint="eastAsia" w:asciiTheme="minorEastAsia" w:hAnsiTheme="minorEastAsia"/>
          <w:color w:val="auto"/>
          <w:sz w:val="28"/>
          <w:szCs w:val="28"/>
          <w:highlight w:val="none"/>
        </w:rPr>
        <w:t>2.1任一方在此向对方承诺如下：</w:t>
      </w:r>
    </w:p>
    <w:p w14:paraId="1FDFC701">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2.1.1本方为一家依法设立并合法存续的企业，已在</w:t>
      </w:r>
      <w:r>
        <w:rPr>
          <w:rFonts w:hint="eastAsia" w:asciiTheme="minorEastAsia" w:hAnsiTheme="minorEastAsia"/>
          <w:color w:val="auto"/>
          <w:sz w:val="28"/>
          <w:szCs w:val="28"/>
          <w:highlight w:val="none"/>
          <w:lang w:eastAsia="zh-CN"/>
        </w:rPr>
        <w:t>海南</w:t>
      </w:r>
      <w:r>
        <w:rPr>
          <w:rFonts w:hint="eastAsia" w:asciiTheme="minorEastAsia" w:hAnsiTheme="minorEastAsia"/>
          <w:color w:val="auto"/>
          <w:sz w:val="28"/>
          <w:szCs w:val="28"/>
          <w:highlight w:val="none"/>
        </w:rPr>
        <w:t>电力交易中心</w:t>
      </w:r>
      <w:r>
        <w:rPr>
          <w:rFonts w:hint="eastAsia" w:asciiTheme="minorEastAsia" w:hAnsiTheme="minorEastAsia" w:eastAsiaTheme="minorEastAsia"/>
          <w:color w:val="auto"/>
          <w:sz w:val="28"/>
          <w:szCs w:val="28"/>
          <w:highlight w:val="none"/>
        </w:rPr>
        <w:t>（以下简称“</w:t>
      </w:r>
      <w:r>
        <w:rPr>
          <w:rFonts w:hint="eastAsia" w:asciiTheme="minorEastAsia" w:hAnsiTheme="minorEastAsia"/>
          <w:color w:val="auto"/>
          <w:sz w:val="28"/>
          <w:szCs w:val="28"/>
          <w:highlight w:val="none"/>
          <w:lang w:eastAsia="zh-CN"/>
        </w:rPr>
        <w:t>交易中心</w:t>
      </w:r>
      <w:r>
        <w:rPr>
          <w:rFonts w:hint="eastAsia" w:asciiTheme="minorEastAsia" w:hAnsiTheme="minorEastAsia" w:eastAsiaTheme="minorEastAsia"/>
          <w:color w:val="auto"/>
          <w:sz w:val="28"/>
          <w:szCs w:val="28"/>
          <w:highlight w:val="none"/>
        </w:rPr>
        <w:t>”）</w:t>
      </w:r>
      <w:r>
        <w:rPr>
          <w:rFonts w:hint="eastAsia" w:asciiTheme="minorEastAsia" w:hAnsiTheme="minorEastAsia"/>
          <w:color w:val="auto"/>
          <w:sz w:val="28"/>
          <w:szCs w:val="28"/>
          <w:highlight w:val="none"/>
        </w:rPr>
        <w:t>完成注册，具备电力市场化交易的资格，有权签署并有能力履行本合同。</w:t>
      </w:r>
    </w:p>
    <w:p w14:paraId="7A0A4BED">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2.1.2本方签署和履行本合同所需的一切手续（包括办理必要的行政许可、取得市场准入条件、营业执照等）均已办妥并合法有效。</w:t>
      </w:r>
    </w:p>
    <w:p w14:paraId="09F1E1DA">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2.1.3在签署本合同时，任何法院、仲裁机构、行政机关或监管机构均未做出任何足以对本方履行本合同产生重大不利影响的判决、裁定、裁决、行政处罚或具体行政行为，以及信用不良记录。</w:t>
      </w:r>
    </w:p>
    <w:p w14:paraId="16606D31">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2.2本方为签署本合同所需的内部授权程序均已完成。本合同生效后即对双方具有法律约束力。</w:t>
      </w:r>
    </w:p>
    <w:p w14:paraId="530F9E38">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2.3双方均已熟悉海南电力市场有关交易规则和管理制度、年度交易实施方案以及交易公告等，在签订本合同前，均已详细阅读并充分理解本合同的所有条款，认同交易中心发布的正式交易结果，愿意承担电力市场化交易可能存在的风险和后果。</w:t>
      </w:r>
    </w:p>
    <w:p w14:paraId="07AEB24D">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2.4双方一致同意本合同按照政府主管部门以及交易中心印发的市场化交易相关规则、方案以及现行有效的管理办法规定开展电力零售交易。</w:t>
      </w:r>
    </w:p>
    <w:p w14:paraId="419B265E">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2.5双方约定有义务确保双方在交易系统</w:t>
      </w:r>
      <w:r>
        <w:rPr>
          <w:rFonts w:hint="eastAsia" w:asciiTheme="minorEastAsia" w:hAnsiTheme="minorEastAsia" w:cstheme="minorEastAsia"/>
          <w:color w:val="auto"/>
          <w:sz w:val="28"/>
          <w:szCs w:val="28"/>
          <w:highlight w:val="none"/>
        </w:rPr>
        <w:t>线上确认的备案信息内容</w:t>
      </w:r>
      <w:r>
        <w:rPr>
          <w:rFonts w:hint="eastAsia" w:asciiTheme="minorEastAsia" w:hAnsiTheme="minorEastAsia"/>
          <w:color w:val="auto"/>
          <w:sz w:val="28"/>
          <w:szCs w:val="28"/>
          <w:highlight w:val="none"/>
        </w:rPr>
        <w:t>与本合同文本信息保持一致，因不一致产生的损失和后果由双方自愿承担。</w:t>
      </w:r>
    </w:p>
    <w:p w14:paraId="0C3B5965">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6</w:t>
      </w:r>
      <w:r>
        <w:rPr>
          <w:rFonts w:hint="eastAsia" w:asciiTheme="minorEastAsia" w:hAnsiTheme="minorEastAsia"/>
          <w:color w:val="auto"/>
          <w:sz w:val="28"/>
          <w:szCs w:val="28"/>
          <w:highlight w:val="none"/>
        </w:rPr>
        <w:t>如国家法律、法规发生变化或者政府有关部门、监管机构出台有关规定、规则，合同双方同意按照法律、法规、规定和规则予以调整和修改。</w:t>
      </w:r>
    </w:p>
    <w:p w14:paraId="1D6E8257">
      <w:pPr>
        <w:pStyle w:val="58"/>
        <w:keepNext w:val="0"/>
        <w:keepLines w:val="0"/>
        <w:pageBreakBefore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30" w:name="_Toc1306_WPSOffice_Level1"/>
      <w:bookmarkStart w:id="31" w:name="_Toc3645_WPSOffice_Level1"/>
      <w:bookmarkStart w:id="32" w:name="_Toc28541"/>
      <w:bookmarkStart w:id="33" w:name="_Toc10893"/>
      <w:r>
        <w:rPr>
          <w:rFonts w:hint="eastAsia" w:ascii="黑体" w:hAnsi="黑体" w:eastAsia="黑体" w:cs="黑体"/>
          <w:color w:val="auto"/>
          <w:sz w:val="30"/>
          <w:szCs w:val="30"/>
          <w:highlight w:val="none"/>
        </w:rPr>
        <w:t>第3章　双方的权利和义务</w:t>
      </w:r>
      <w:bookmarkEnd w:id="26"/>
      <w:bookmarkEnd w:id="27"/>
      <w:bookmarkEnd w:id="28"/>
      <w:bookmarkEnd w:id="29"/>
      <w:bookmarkEnd w:id="30"/>
      <w:bookmarkEnd w:id="31"/>
      <w:bookmarkEnd w:id="32"/>
      <w:bookmarkEnd w:id="33"/>
    </w:p>
    <w:p w14:paraId="226DD044">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3.1甲方的权利和义务</w:t>
      </w:r>
    </w:p>
    <w:p w14:paraId="600879D3">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3.1.1服从电力市场交易规则</w:t>
      </w:r>
      <w:r>
        <w:rPr>
          <w:rFonts w:hint="eastAsia" w:asciiTheme="minorEastAsia" w:hAnsiTheme="minorEastAsia"/>
          <w:color w:val="auto"/>
          <w:sz w:val="28"/>
          <w:szCs w:val="28"/>
          <w:highlight w:val="none"/>
          <w:lang w:eastAsia="zh-CN"/>
        </w:rPr>
        <w:t>或</w:t>
      </w:r>
      <w:r>
        <w:rPr>
          <w:rFonts w:hint="eastAsia" w:asciiTheme="minorEastAsia" w:hAnsiTheme="minorEastAsia"/>
          <w:color w:val="auto"/>
          <w:sz w:val="28"/>
          <w:szCs w:val="28"/>
          <w:highlight w:val="none"/>
        </w:rPr>
        <w:t>相关规定。</w:t>
      </w:r>
    </w:p>
    <w:p w14:paraId="28ED746F">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3.1.2获得乙方履行本合同义务相关的工作计划信息、资料及查阅电能量计量数据。</w:t>
      </w:r>
    </w:p>
    <w:p w14:paraId="343EDACD">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3.1.3向乙方如实、完整提供电力交易基数电量、用电需求及其他生产运行等用电信息。</w:t>
      </w:r>
    </w:p>
    <w:p w14:paraId="30C28F2F">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3.1.4在规定时间内对用网电量及对乙方提报的结算数据进行确认及反馈。</w:t>
      </w:r>
    </w:p>
    <w:p w14:paraId="32A9AB3D">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3.1.5保证在交易系统的用户档案信息准确、完备，相关权限和功能正常可用，向乙方提供与履行本合同相关的其他信息、资料；用户档案信息发生变化时，按规定向交易中心履行变更手续。</w:t>
      </w:r>
    </w:p>
    <w:p w14:paraId="2CA59D04">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3.1.6及时书面告知乙方、交易中心以及其他相关方本企业无法履行的本合同义务，并处理好相关事宜。</w:t>
      </w:r>
    </w:p>
    <w:p w14:paraId="760A9C4E">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3.1.7根据本合同约定承担法律后果，向乙方收取和支付违约金、损害赔偿金等。</w:t>
      </w:r>
    </w:p>
    <w:p w14:paraId="1CDE0AFC">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3.1.8应对乙方的相关数据和资料承担相关保密义务。</w:t>
      </w:r>
    </w:p>
    <w:p w14:paraId="5B456DD2">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3.1.9服从调度安排有序用电；发生紧急情况时，按照相关规定执行。</w:t>
      </w:r>
    </w:p>
    <w:p w14:paraId="72FC0BF1">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3.1.10按相关规定和合同约定支付</w:t>
      </w:r>
      <w:r>
        <w:rPr>
          <w:rFonts w:hint="eastAsia" w:asciiTheme="minorEastAsia" w:hAnsiTheme="minorEastAsia"/>
          <w:color w:val="auto"/>
          <w:sz w:val="28"/>
          <w:szCs w:val="28"/>
          <w:highlight w:val="none"/>
          <w:lang w:val="en-US" w:eastAsia="zh-CN"/>
        </w:rPr>
        <w:t>电能量</w:t>
      </w:r>
      <w:r>
        <w:rPr>
          <w:rFonts w:hint="eastAsia" w:asciiTheme="minorEastAsia" w:hAnsiTheme="minorEastAsia"/>
          <w:color w:val="auto"/>
          <w:sz w:val="28"/>
          <w:szCs w:val="28"/>
          <w:highlight w:val="none"/>
        </w:rPr>
        <w:t>电费、</w:t>
      </w:r>
      <w:r>
        <w:rPr>
          <w:rFonts w:hint="eastAsia" w:asciiTheme="minorEastAsia" w:hAnsiTheme="minorEastAsia"/>
          <w:color w:val="auto"/>
          <w:sz w:val="28"/>
          <w:szCs w:val="28"/>
          <w:highlight w:val="none"/>
          <w:lang w:val="en-US" w:eastAsia="zh-CN"/>
        </w:rPr>
        <w:t>环境溢价费用、</w:t>
      </w:r>
      <w:r>
        <w:rPr>
          <w:rFonts w:hint="eastAsia" w:asciiTheme="minorEastAsia" w:hAnsiTheme="minorEastAsia"/>
          <w:color w:val="auto"/>
          <w:sz w:val="28"/>
          <w:szCs w:val="28"/>
          <w:highlight w:val="none"/>
        </w:rPr>
        <w:t>基本电费、上网环节线损费用、输配电费、系统运行费用、政府性基金及附加等。退市时，应配合完成电量及费用清算。</w:t>
      </w:r>
    </w:p>
    <w:p w14:paraId="2BFF897A">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yellow"/>
        </w:rPr>
      </w:pPr>
      <w:r>
        <w:rPr>
          <w:rFonts w:hint="eastAsia" w:asciiTheme="minorEastAsia" w:hAnsiTheme="minorEastAsia"/>
          <w:color w:val="auto"/>
          <w:sz w:val="28"/>
          <w:szCs w:val="28"/>
          <w:highlight w:val="yellow"/>
        </w:rPr>
        <w:t>3.1.</w:t>
      </w:r>
      <w:r>
        <w:rPr>
          <w:rFonts w:hint="eastAsia" w:asciiTheme="minorEastAsia" w:hAnsiTheme="minorEastAsia"/>
          <w:color w:val="auto"/>
          <w:sz w:val="28"/>
          <w:szCs w:val="28"/>
          <w:highlight w:val="yellow"/>
          <w:lang w:val="en-US" w:eastAsia="zh-CN"/>
        </w:rPr>
        <w:t>11甲方收到电费发票后15个工作日内付款向乙方支付</w:t>
      </w:r>
      <w:r>
        <w:rPr>
          <w:rFonts w:hint="eastAsia" w:asciiTheme="minorEastAsia" w:hAnsiTheme="minorEastAsia"/>
          <w:color w:val="auto"/>
          <w:sz w:val="28"/>
          <w:szCs w:val="28"/>
          <w:highlight w:val="yellow"/>
        </w:rPr>
        <w:t>费用</w:t>
      </w:r>
      <w:r>
        <w:rPr>
          <w:rFonts w:hint="eastAsia" w:asciiTheme="minorEastAsia" w:hAnsiTheme="minorEastAsia"/>
          <w:color w:val="auto"/>
          <w:sz w:val="28"/>
          <w:szCs w:val="28"/>
          <w:highlight w:val="yellow"/>
          <w:lang w:val="en-US" w:eastAsia="zh-CN"/>
        </w:rPr>
        <w:t>。</w:t>
      </w:r>
    </w:p>
    <w:p w14:paraId="7B7736B4">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 乙方的权利和义务</w:t>
      </w:r>
    </w:p>
    <w:p w14:paraId="40761D95">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3.2.1服从电力市场交易规则</w:t>
      </w:r>
      <w:r>
        <w:rPr>
          <w:rFonts w:hint="eastAsia" w:asciiTheme="minorEastAsia" w:hAnsiTheme="minorEastAsia"/>
          <w:color w:val="auto"/>
          <w:sz w:val="28"/>
          <w:szCs w:val="28"/>
          <w:highlight w:val="none"/>
          <w:lang w:eastAsia="zh-CN"/>
        </w:rPr>
        <w:t>或</w:t>
      </w:r>
      <w:r>
        <w:rPr>
          <w:rFonts w:hint="eastAsia" w:asciiTheme="minorEastAsia" w:hAnsiTheme="minorEastAsia"/>
          <w:color w:val="auto"/>
          <w:sz w:val="28"/>
          <w:szCs w:val="28"/>
          <w:highlight w:val="none"/>
        </w:rPr>
        <w:t>相关规定。</w:t>
      </w:r>
    </w:p>
    <w:p w14:paraId="2F18478E">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3.2.2按照本合同约定购买甲方所需的电量。</w:t>
      </w:r>
    </w:p>
    <w:p w14:paraId="053C621E">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3.2.3获得甲方与履行本合同义务相关的信息、资料（包括生产计划和设备检修计划等）及查阅本合同有关的历史用电数据和计量数据。向甲方提供与履行本合同的其他信息。</w:t>
      </w:r>
    </w:p>
    <w:p w14:paraId="34BE51FB">
      <w:pPr>
        <w:pStyle w:val="58"/>
        <w:keepNext w:val="0"/>
        <w:keepLines w:val="0"/>
        <w:pageBreakBefore w:val="0"/>
        <w:kinsoku/>
        <w:wordWrap/>
        <w:overflowPunct/>
        <w:topLinePunct w:val="0"/>
        <w:autoSpaceDE/>
        <w:autoSpaceDN/>
        <w:bidi w:val="0"/>
        <w:adjustRightInd/>
        <w:spacing w:before="0" w:beforeAutospacing="0" w:after="0" w:afterAutospacing="0" w:line="600" w:lineRule="exact"/>
        <w:ind w:left="0" w:leftChars="0" w:firstLine="560" w:firstLineChars="200"/>
        <w:textAlignment w:val="auto"/>
        <w:rPr>
          <w:color w:val="auto"/>
          <w:highlight w:val="none"/>
        </w:rPr>
      </w:pPr>
      <w:r>
        <w:rPr>
          <w:rFonts w:hint="eastAsia" w:asciiTheme="minorEastAsia" w:hAnsiTheme="minorEastAsia"/>
          <w:color w:val="auto"/>
          <w:sz w:val="28"/>
          <w:szCs w:val="28"/>
          <w:highlight w:val="none"/>
        </w:rPr>
        <w:t>3.2.4配合提供其所服务甲方容量、电量、负荷曲线及其他生产运行信息，并对相关信息的真实性、准确性负责。</w:t>
      </w:r>
    </w:p>
    <w:p w14:paraId="2C450233">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3.2.5按照规则参与市场化交易，履行本合同约定的交易、服务、结算和收费等相关事宜。</w:t>
      </w:r>
    </w:p>
    <w:p w14:paraId="71D8F9D9">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3.2.6按照合同结算条款计算并在规定时间内向交易中心提报甲方的月度结算电量、电价和考核电量、电费等结算信息</w:t>
      </w:r>
      <w:r>
        <w:rPr>
          <w:rFonts w:hint="eastAsia" w:asciiTheme="minorEastAsia" w:hAnsiTheme="minorEastAsia"/>
          <w:color w:val="auto"/>
          <w:sz w:val="28"/>
          <w:szCs w:val="28"/>
          <w:highlight w:val="yellow"/>
          <w:lang w:val="en-US" w:eastAsia="zh-CN"/>
        </w:rPr>
        <w:t>并在每月10日前开具相关发票</w:t>
      </w:r>
      <w:r>
        <w:rPr>
          <w:rFonts w:hint="eastAsia" w:asciiTheme="minorEastAsia" w:hAnsiTheme="minorEastAsia"/>
          <w:color w:val="auto"/>
          <w:sz w:val="28"/>
          <w:szCs w:val="28"/>
          <w:highlight w:val="yellow"/>
        </w:rPr>
        <w:t>。</w:t>
      </w:r>
    </w:p>
    <w:p w14:paraId="11AA6215">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3.2.7及时书面告知甲方、交易中心以及其他相关方本企业无法履行的本合同义务，并处理好相关事宜。</w:t>
      </w:r>
    </w:p>
    <w:p w14:paraId="4D6A176E">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3.2.8根据本合同约定承担法律后果，向甲方收取和支付违约金、损害赔偿金等。</w:t>
      </w:r>
    </w:p>
    <w:p w14:paraId="5E3F780C">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3.2.9应对甲方的相关数据和资料承担相关保密义务。</w:t>
      </w:r>
    </w:p>
    <w:p w14:paraId="45D966D2">
      <w:pPr>
        <w:keepNext w:val="0"/>
        <w:keepLines w:val="0"/>
        <w:pageBreakBefore w:val="0"/>
        <w:kinsoku/>
        <w:wordWrap/>
        <w:overflowPunct/>
        <w:topLinePunct w:val="0"/>
        <w:autoSpaceDE/>
        <w:autoSpaceDN/>
        <w:bidi w:val="0"/>
        <w:adjustRightInd/>
        <w:spacing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3.2.10发生紧急情况时，按照相关规定执行。</w:t>
      </w:r>
    </w:p>
    <w:p w14:paraId="1082025A">
      <w:pPr>
        <w:pStyle w:val="58"/>
        <w:keepNext w:val="0"/>
        <w:keepLines w:val="0"/>
        <w:pageBreakBefore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34" w:name="_Toc14357"/>
      <w:bookmarkStart w:id="35" w:name="_Toc31597"/>
      <w:bookmarkStart w:id="36" w:name="_Toc21265_WPSOffice_Level1"/>
      <w:bookmarkStart w:id="37" w:name="_Toc32271_WPSOffice_Level1"/>
      <w:bookmarkStart w:id="38" w:name="_Toc11486"/>
      <w:bookmarkStart w:id="39" w:name="_Toc3018"/>
      <w:bookmarkStart w:id="40" w:name="_Toc28862"/>
      <w:bookmarkStart w:id="41" w:name="_Toc19528"/>
      <w:bookmarkStart w:id="42" w:name="_Toc25766"/>
      <w:bookmarkStart w:id="43" w:name="_Toc4225"/>
      <w:r>
        <w:rPr>
          <w:rFonts w:hint="eastAsia" w:ascii="黑体" w:hAnsi="黑体" w:eastAsia="黑体" w:cs="黑体"/>
          <w:color w:val="auto"/>
          <w:sz w:val="30"/>
          <w:szCs w:val="30"/>
          <w:highlight w:val="none"/>
        </w:rPr>
        <w:t>第4章　结算事宜</w:t>
      </w:r>
      <w:bookmarkEnd w:id="34"/>
      <w:bookmarkEnd w:id="35"/>
      <w:bookmarkEnd w:id="36"/>
      <w:bookmarkEnd w:id="37"/>
      <w:bookmarkEnd w:id="38"/>
      <w:bookmarkEnd w:id="39"/>
      <w:bookmarkEnd w:id="40"/>
      <w:bookmarkEnd w:id="41"/>
      <w:bookmarkEnd w:id="42"/>
      <w:bookmarkEnd w:id="43"/>
    </w:p>
    <w:p w14:paraId="09DC65CA">
      <w:pPr>
        <w:keepNext w:val="0"/>
        <w:keepLines w:val="0"/>
        <w:pageBreakBefore w:val="0"/>
        <w:kinsoku/>
        <w:wordWrap/>
        <w:overflowPunct/>
        <w:topLinePunct w:val="0"/>
        <w:autoSpaceDE/>
        <w:autoSpaceDN/>
        <w:bidi w:val="0"/>
        <w:adjustRightInd/>
        <w:spacing w:line="600" w:lineRule="exact"/>
        <w:ind w:left="0" w:leftChars="0" w:firstLine="641"/>
        <w:textAlignment w:val="auto"/>
        <w:rPr>
          <w:rFonts w:asciiTheme="minorEastAsia" w:hAnsiTheme="minorEastAsia"/>
          <w:color w:val="auto"/>
          <w:sz w:val="28"/>
          <w:szCs w:val="28"/>
          <w:highlight w:val="none"/>
        </w:rPr>
      </w:pPr>
      <w:bookmarkStart w:id="44" w:name="_Toc19038"/>
      <w:bookmarkStart w:id="45" w:name="_Toc23154"/>
      <w:r>
        <w:rPr>
          <w:rFonts w:hint="eastAsia" w:asciiTheme="minorEastAsia" w:hAnsiTheme="minorEastAsia"/>
          <w:color w:val="auto"/>
          <w:sz w:val="28"/>
          <w:szCs w:val="28"/>
          <w:highlight w:val="none"/>
        </w:rPr>
        <w:t>4.1甲乙双方一致同意：由乙方通过交易中心组织的市场化交易为甲方采购零售服务期限内合同电量，并由乙方按照双方在交易系统上确认的零售备案信息内容（含合同起止时间、零售结算模式等）开展零售结算。</w:t>
      </w:r>
    </w:p>
    <w:p w14:paraId="2B0D5E1C">
      <w:pPr>
        <w:keepNext w:val="0"/>
        <w:keepLines w:val="0"/>
        <w:pageBreakBefore w:val="0"/>
        <w:kinsoku/>
        <w:wordWrap/>
        <w:overflowPunct/>
        <w:topLinePunct w:val="0"/>
        <w:autoSpaceDE/>
        <w:autoSpaceDN/>
        <w:bidi w:val="0"/>
        <w:adjustRightInd/>
        <w:snapToGrid w:val="0"/>
        <w:spacing w:line="600" w:lineRule="exact"/>
        <w:ind w:left="0" w:leftChars="0"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4.2本合同约定的价格均含税</w:t>
      </w:r>
      <w:r>
        <w:rPr>
          <w:rFonts w:hint="eastAsia" w:asciiTheme="minorEastAsia" w:hAnsiTheme="minorEastAsia"/>
          <w:color w:val="auto"/>
          <w:sz w:val="28"/>
          <w:szCs w:val="28"/>
          <w:highlight w:val="none"/>
          <w:lang w:eastAsia="zh-CN"/>
        </w:rPr>
        <w:t>，</w:t>
      </w:r>
      <w:r>
        <w:rPr>
          <w:rFonts w:hint="eastAsia" w:asciiTheme="minorEastAsia" w:hAnsiTheme="minorEastAsia"/>
          <w:color w:val="auto"/>
          <w:sz w:val="28"/>
          <w:szCs w:val="28"/>
          <w:highlight w:val="none"/>
        </w:rPr>
        <w:t>若国家税率调整，本合同</w:t>
      </w:r>
      <w:r>
        <w:rPr>
          <w:rFonts w:hint="eastAsia" w:asciiTheme="minorEastAsia" w:hAnsiTheme="minorEastAsia"/>
          <w:color w:val="auto"/>
          <w:sz w:val="28"/>
          <w:szCs w:val="28"/>
          <w:highlight w:val="none"/>
          <w:lang w:val="en-US" w:eastAsia="zh-CN"/>
        </w:rPr>
        <w:t>非</w:t>
      </w:r>
      <w:r>
        <w:rPr>
          <w:rFonts w:hint="eastAsia" w:asciiTheme="minorEastAsia" w:hAnsiTheme="minorEastAsia"/>
          <w:color w:val="auto"/>
          <w:sz w:val="28"/>
          <w:szCs w:val="28"/>
          <w:highlight w:val="none"/>
        </w:rPr>
        <w:t>含税电价保持不变。</w:t>
      </w:r>
    </w:p>
    <w:p w14:paraId="206DDCB7">
      <w:pPr>
        <w:keepNext w:val="0"/>
        <w:keepLines w:val="0"/>
        <w:pageBreakBefore w:val="0"/>
        <w:kinsoku/>
        <w:wordWrap/>
        <w:overflowPunct/>
        <w:topLinePunct w:val="0"/>
        <w:autoSpaceDE/>
        <w:autoSpaceDN/>
        <w:bidi w:val="0"/>
        <w:adjustRightInd/>
        <w:snapToGrid w:val="0"/>
        <w:spacing w:line="600" w:lineRule="exact"/>
        <w:ind w:left="0" w:leftChars="0"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电能量电费=零售交易电费+峰谷浮动电费（若有）</w:t>
      </w:r>
      <w:r>
        <w:rPr>
          <w:rFonts w:hint="eastAsia" w:ascii="宋体" w:hAnsi="宋体" w:eastAsia="宋体" w:cs="宋体"/>
          <w:color w:val="auto"/>
          <w:sz w:val="28"/>
          <w:szCs w:val="28"/>
          <w:highlight w:val="none"/>
          <w:shd w:val="clear" w:color="auto" w:fill="FFFFFF"/>
          <w:lang w:val="en-US" w:eastAsia="zh-CN"/>
        </w:rPr>
        <w:t>+服务费（若有）</w:t>
      </w:r>
      <w:r>
        <w:rPr>
          <w:rFonts w:hint="eastAsia" w:asciiTheme="minorEastAsia" w:hAnsiTheme="minorEastAsia"/>
          <w:color w:val="auto"/>
          <w:sz w:val="28"/>
          <w:szCs w:val="28"/>
          <w:highlight w:val="none"/>
          <w:lang w:val="en-US" w:eastAsia="zh-CN"/>
        </w:rPr>
        <w:t>。</w:t>
      </w:r>
    </w:p>
    <w:p w14:paraId="0B3354AD">
      <w:pPr>
        <w:keepNext w:val="0"/>
        <w:keepLines w:val="0"/>
        <w:pageBreakBefore w:val="0"/>
        <w:kinsoku/>
        <w:wordWrap/>
        <w:overflowPunct/>
        <w:topLinePunct w:val="0"/>
        <w:autoSpaceDE/>
        <w:autoSpaceDN/>
        <w:bidi w:val="0"/>
        <w:adjustRightInd/>
        <w:snapToGrid w:val="0"/>
        <w:spacing w:line="600" w:lineRule="exact"/>
        <w:ind w:left="0" w:leftChars="0" w:firstLine="560" w:firstLineChars="200"/>
        <w:textAlignment w:val="auto"/>
        <w:rPr>
          <w:rFonts w:hint="eastAsia" w:ascii="宋体" w:hAnsi="宋体" w:eastAsia="宋体" w:cs="宋体"/>
          <w:b w:val="0"/>
          <w:bCs w:val="0"/>
          <w:color w:val="auto"/>
          <w:sz w:val="28"/>
          <w:szCs w:val="28"/>
          <w:highlight w:val="none"/>
          <w:shd w:val="clear" w:color="auto" w:fill="FFFFFF"/>
          <w:lang w:eastAsia="zh-CN"/>
        </w:rPr>
      </w:pPr>
      <w:r>
        <w:rPr>
          <w:rFonts w:hint="eastAsia" w:asciiTheme="minorEastAsia" w:hAnsiTheme="minorEastAsia"/>
          <w:color w:val="auto"/>
          <w:sz w:val="28"/>
          <w:szCs w:val="28"/>
          <w:highlight w:val="none"/>
          <w:lang w:val="en-US" w:eastAsia="zh-CN"/>
        </w:rPr>
        <w:t>其中：零售交易电费根据4.5确定的结算套餐计算，峰谷浮动电费根据</w:t>
      </w:r>
      <w:r>
        <w:rPr>
          <w:rFonts w:hint="eastAsia" w:ascii="宋体" w:hAnsi="宋体" w:eastAsia="宋体" w:cs="宋体"/>
          <w:b w:val="0"/>
          <w:bCs w:val="0"/>
          <w:color w:val="auto"/>
          <w:sz w:val="28"/>
          <w:szCs w:val="28"/>
          <w:highlight w:val="none"/>
          <w:shd w:val="clear" w:color="auto" w:fill="FFFFFF"/>
        </w:rPr>
        <w:t>甲方</w:t>
      </w:r>
      <w:r>
        <w:rPr>
          <w:rFonts w:hint="eastAsia" w:ascii="宋体" w:hAnsi="宋体" w:eastAsia="宋体" w:cs="宋体"/>
          <w:color w:val="auto"/>
          <w:sz w:val="28"/>
          <w:szCs w:val="28"/>
          <w:highlight w:val="none"/>
          <w:shd w:val="clear" w:color="auto" w:fill="FFFFFF"/>
        </w:rPr>
        <w:t>名下各工商业计量点</w:t>
      </w:r>
      <w:r>
        <w:rPr>
          <w:rFonts w:hint="eastAsia" w:ascii="宋体" w:hAnsi="宋体" w:eastAsia="宋体" w:cs="宋体"/>
          <w:b w:val="0"/>
          <w:bCs w:val="0"/>
          <w:color w:val="auto"/>
          <w:sz w:val="28"/>
          <w:szCs w:val="28"/>
          <w:highlight w:val="none"/>
          <w:shd w:val="clear" w:color="auto" w:fill="FFFFFF"/>
        </w:rPr>
        <w:t>的各时段用电电量</w:t>
      </w:r>
      <w:r>
        <w:rPr>
          <w:rFonts w:hint="eastAsia" w:ascii="宋体" w:hAnsi="宋体" w:eastAsia="宋体" w:cs="宋体"/>
          <w:b w:val="0"/>
          <w:bCs w:val="0"/>
          <w:color w:val="auto"/>
          <w:sz w:val="28"/>
          <w:szCs w:val="28"/>
          <w:highlight w:val="none"/>
          <w:shd w:val="clear" w:color="auto" w:fill="FFFFFF"/>
          <w:lang w:val="en-US" w:eastAsia="zh-CN"/>
        </w:rPr>
        <w:t>进行峰谷分时段结算，具体算法按</w:t>
      </w:r>
      <w:r>
        <w:rPr>
          <w:rFonts w:hint="eastAsia" w:ascii="宋体" w:hAnsi="宋体" w:eastAsia="宋体" w:cs="宋体"/>
          <w:color w:val="auto"/>
          <w:sz w:val="28"/>
          <w:szCs w:val="28"/>
          <w:highlight w:val="none"/>
          <w:shd w:val="clear" w:color="auto" w:fill="FFFFFF"/>
        </w:rPr>
        <w:t>《海南电力市场结算实施细则》执行</w:t>
      </w:r>
      <w:r>
        <w:rPr>
          <w:rFonts w:hint="eastAsia" w:ascii="宋体" w:hAnsi="宋体" w:eastAsia="宋体" w:cs="宋体"/>
          <w:b w:val="0"/>
          <w:bCs w:val="0"/>
          <w:color w:val="auto"/>
          <w:sz w:val="28"/>
          <w:szCs w:val="28"/>
          <w:highlight w:val="none"/>
          <w:shd w:val="clear" w:color="auto" w:fill="FFFFFF"/>
          <w:lang w:eastAsia="zh-CN"/>
        </w:rPr>
        <w:t>。</w:t>
      </w:r>
      <w:r>
        <w:rPr>
          <w:rFonts w:hint="eastAsia" w:ascii="宋体" w:hAnsi="宋体" w:eastAsia="宋体" w:cs="宋体"/>
          <w:b w:val="0"/>
          <w:bCs w:val="0"/>
          <w:color w:val="auto"/>
          <w:sz w:val="28"/>
          <w:szCs w:val="28"/>
          <w:highlight w:val="none"/>
          <w:shd w:val="clear" w:color="auto" w:fill="FFFFFF"/>
        </w:rPr>
        <w:t>峰谷时段</w:t>
      </w:r>
      <w:r>
        <w:rPr>
          <w:rFonts w:hint="eastAsia" w:ascii="宋体" w:hAnsi="宋体" w:eastAsia="宋体" w:cs="宋体"/>
          <w:b w:val="0"/>
          <w:bCs w:val="0"/>
          <w:color w:val="auto"/>
          <w:sz w:val="28"/>
          <w:szCs w:val="28"/>
          <w:highlight w:val="none"/>
          <w:shd w:val="clear" w:color="auto" w:fill="FFFFFF"/>
          <w:lang w:eastAsia="zh-CN"/>
        </w:rPr>
        <w:t>、</w:t>
      </w:r>
      <w:r>
        <w:rPr>
          <w:rFonts w:hint="eastAsia" w:ascii="宋体" w:hAnsi="宋体" w:eastAsia="宋体" w:cs="宋体"/>
          <w:b w:val="0"/>
          <w:bCs w:val="0"/>
          <w:color w:val="auto"/>
          <w:sz w:val="28"/>
          <w:szCs w:val="28"/>
          <w:highlight w:val="none"/>
          <w:shd w:val="clear" w:color="auto" w:fill="FFFFFF"/>
        </w:rPr>
        <w:t>具体执行范围</w:t>
      </w:r>
      <w:r>
        <w:rPr>
          <w:rFonts w:hint="eastAsia" w:ascii="宋体" w:hAnsi="宋体" w:eastAsia="宋体" w:cs="宋体"/>
          <w:b w:val="0"/>
          <w:bCs w:val="0"/>
          <w:color w:val="auto"/>
          <w:sz w:val="28"/>
          <w:szCs w:val="28"/>
          <w:highlight w:val="none"/>
          <w:shd w:val="clear" w:color="auto" w:fill="FFFFFF"/>
          <w:lang w:eastAsia="zh-CN"/>
        </w:rPr>
        <w:t>以及峰谷比例</w:t>
      </w:r>
      <w:r>
        <w:rPr>
          <w:rFonts w:hint="eastAsia" w:ascii="宋体" w:hAnsi="宋体" w:eastAsia="宋体" w:cs="宋体"/>
          <w:b w:val="0"/>
          <w:bCs w:val="0"/>
          <w:color w:val="auto"/>
          <w:sz w:val="28"/>
          <w:szCs w:val="28"/>
          <w:highlight w:val="none"/>
          <w:shd w:val="clear" w:color="auto" w:fill="FFFFFF"/>
        </w:rPr>
        <w:t>按照《海南省发展和改革委员会关于进一步完善峰谷分时电价机制有关问题的通知》（琼发改规[2021]18号）的规定</w:t>
      </w:r>
      <w:r>
        <w:rPr>
          <w:rFonts w:hint="eastAsia" w:ascii="宋体" w:hAnsi="宋体" w:eastAsia="宋体" w:cs="宋体"/>
          <w:b w:val="0"/>
          <w:bCs w:val="0"/>
          <w:color w:val="auto"/>
          <w:sz w:val="28"/>
          <w:szCs w:val="28"/>
          <w:highlight w:val="none"/>
          <w:shd w:val="clear" w:color="auto" w:fill="FFFFFF"/>
          <w:lang w:eastAsia="zh-CN"/>
        </w:rPr>
        <w:t>执行</w:t>
      </w:r>
      <w:r>
        <w:rPr>
          <w:rFonts w:hint="eastAsia" w:ascii="宋体" w:hAnsi="宋体" w:eastAsia="宋体" w:cs="宋体"/>
          <w:b w:val="0"/>
          <w:bCs w:val="0"/>
          <w:color w:val="auto"/>
          <w:sz w:val="28"/>
          <w:szCs w:val="28"/>
          <w:highlight w:val="none"/>
          <w:shd w:val="clear" w:color="auto" w:fill="FFFFFF"/>
        </w:rPr>
        <w:t>，如遇调整按新规定执行。</w:t>
      </w:r>
    </w:p>
    <w:p w14:paraId="43EFAD57">
      <w:pPr>
        <w:keepNext w:val="0"/>
        <w:keepLines w:val="0"/>
        <w:pageBreakBefore w:val="0"/>
        <w:kinsoku/>
        <w:wordWrap/>
        <w:overflowPunct/>
        <w:topLinePunct w:val="0"/>
        <w:autoSpaceDE/>
        <w:autoSpaceDN/>
        <w:bidi w:val="0"/>
        <w:adjustRightInd/>
        <w:spacing w:line="600" w:lineRule="exact"/>
        <w:ind w:left="0" w:leftChars="0" w:firstLine="641"/>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4.3</w:t>
      </w:r>
      <w:r>
        <w:rPr>
          <w:rFonts w:hint="eastAsia" w:asciiTheme="minorEastAsia" w:hAnsiTheme="minorEastAsia" w:cstheme="minorEastAsia"/>
          <w:bCs/>
          <w:color w:val="auto"/>
          <w:sz w:val="28"/>
          <w:szCs w:val="28"/>
          <w:highlight w:val="none"/>
        </w:rPr>
        <w:t>甲乙双方须从零售</w:t>
      </w:r>
      <w:r>
        <w:rPr>
          <w:rFonts w:hint="eastAsia" w:asciiTheme="minorEastAsia" w:hAnsiTheme="minorEastAsia" w:cstheme="minorEastAsia"/>
          <w:bCs/>
          <w:color w:val="auto"/>
          <w:sz w:val="28"/>
          <w:szCs w:val="28"/>
          <w:highlight w:val="none"/>
          <w:lang w:val="en-US" w:eastAsia="zh-CN"/>
        </w:rPr>
        <w:t>套餐</w:t>
      </w:r>
      <w:r>
        <w:rPr>
          <w:rFonts w:hint="eastAsia" w:asciiTheme="minorEastAsia" w:hAnsiTheme="minorEastAsia" w:cstheme="minorEastAsia"/>
          <w:bCs/>
          <w:color w:val="auto"/>
          <w:sz w:val="28"/>
          <w:szCs w:val="28"/>
          <w:highlight w:val="none"/>
        </w:rPr>
        <w:t>库中选择零售</w:t>
      </w:r>
      <w:r>
        <w:rPr>
          <w:rFonts w:hint="eastAsia" w:asciiTheme="minorEastAsia" w:hAnsiTheme="minorEastAsia" w:cstheme="minorEastAsia"/>
          <w:bCs/>
          <w:color w:val="auto"/>
          <w:sz w:val="28"/>
          <w:szCs w:val="28"/>
          <w:highlight w:val="none"/>
          <w:lang w:val="en-US" w:eastAsia="zh-CN"/>
        </w:rPr>
        <w:t>套餐</w:t>
      </w:r>
      <w:r>
        <w:rPr>
          <w:rFonts w:hint="eastAsia" w:asciiTheme="minorEastAsia" w:hAnsiTheme="minorEastAsia" w:cstheme="minorEastAsia"/>
          <w:bCs/>
          <w:color w:val="auto"/>
          <w:sz w:val="28"/>
          <w:szCs w:val="28"/>
          <w:highlight w:val="none"/>
        </w:rPr>
        <w:t>，</w:t>
      </w:r>
      <w:r>
        <w:rPr>
          <w:rFonts w:hint="eastAsia" w:asciiTheme="minorEastAsia" w:hAnsiTheme="minorEastAsia" w:cstheme="minorEastAsia"/>
          <w:bCs/>
          <w:color w:val="auto"/>
          <w:sz w:val="28"/>
          <w:szCs w:val="28"/>
          <w:highlight w:val="none"/>
          <w:lang w:val="en-US" w:eastAsia="zh-CN"/>
        </w:rPr>
        <w:t>偏差电量考核和资金分摊及返还费用由乙方</w:t>
      </w:r>
      <w:r>
        <w:rPr>
          <w:rFonts w:hint="eastAsia" w:asciiTheme="minorEastAsia" w:hAnsiTheme="minorEastAsia" w:cstheme="minorEastAsia"/>
          <w:bCs/>
          <w:color w:val="auto"/>
          <w:sz w:val="28"/>
          <w:szCs w:val="28"/>
          <w:highlight w:val="none"/>
        </w:rPr>
        <w:t>通过</w:t>
      </w:r>
      <w:r>
        <w:rPr>
          <w:rFonts w:hint="eastAsia" w:asciiTheme="minorEastAsia" w:hAnsiTheme="minorEastAsia" w:cstheme="minorEastAsia"/>
          <w:bCs/>
          <w:color w:val="auto"/>
          <w:sz w:val="28"/>
          <w:szCs w:val="28"/>
          <w:highlight w:val="none"/>
          <w:lang w:val="en-US" w:eastAsia="zh-CN"/>
        </w:rPr>
        <w:t>甲方选择零售套餐中的固定价格/交易基准价或服务费进行</w:t>
      </w:r>
      <w:r>
        <w:rPr>
          <w:rFonts w:hint="eastAsia" w:asciiTheme="minorEastAsia" w:hAnsiTheme="minorEastAsia" w:cstheme="minorEastAsia"/>
          <w:bCs/>
          <w:color w:val="auto"/>
          <w:sz w:val="28"/>
          <w:szCs w:val="28"/>
          <w:highlight w:val="none"/>
        </w:rPr>
        <w:t>传导。</w:t>
      </w:r>
    </w:p>
    <w:p w14:paraId="2B694220">
      <w:pPr>
        <w:keepNext w:val="0"/>
        <w:keepLines w:val="0"/>
        <w:pageBreakBefore w:val="0"/>
        <w:kinsoku/>
        <w:wordWrap/>
        <w:overflowPunct/>
        <w:topLinePunct w:val="0"/>
        <w:autoSpaceDE/>
        <w:autoSpaceDN/>
        <w:bidi w:val="0"/>
        <w:adjustRightInd/>
        <w:spacing w:line="600" w:lineRule="exact"/>
        <w:ind w:left="0" w:leftChars="0" w:firstLine="641"/>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4.4合同电量</w:t>
      </w:r>
    </w:p>
    <w:p w14:paraId="78E5CCFA">
      <w:pPr>
        <w:keepNext w:val="0"/>
        <w:keepLines w:val="0"/>
        <w:pageBreakBefore w:val="0"/>
        <w:kinsoku/>
        <w:wordWrap/>
        <w:overflowPunct/>
        <w:topLinePunct w:val="0"/>
        <w:autoSpaceDE/>
        <w:autoSpaceDN/>
        <w:bidi w:val="0"/>
        <w:adjustRightInd/>
        <w:spacing w:line="600" w:lineRule="exact"/>
        <w:ind w:left="0" w:leftChars="0" w:firstLine="570"/>
        <w:textAlignment w:val="auto"/>
        <w:rPr>
          <w:rFonts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甲方委托乙方采购符合条件要求的电量。双方约定，零售服务期限内交易电量为</w:t>
      </w:r>
      <w:r>
        <w:rPr>
          <w:rFonts w:hint="eastAsia" w:asciiTheme="minorEastAsia" w:hAnsiTheme="minorEastAsia" w:cstheme="minorEastAsia"/>
          <w:bCs/>
          <w:color w:val="auto"/>
          <w:sz w:val="28"/>
          <w:szCs w:val="28"/>
          <w:highlight w:val="none"/>
          <w:u w:val="single"/>
        </w:rPr>
        <w:t xml:space="preserve">      </w:t>
      </w:r>
      <w:r>
        <w:rPr>
          <w:rFonts w:hint="eastAsia" w:asciiTheme="minorEastAsia" w:hAnsiTheme="minorEastAsia" w:cstheme="minorEastAsia"/>
          <w:bCs/>
          <w:color w:val="auto"/>
          <w:sz w:val="28"/>
          <w:szCs w:val="28"/>
          <w:highlight w:val="none"/>
        </w:rPr>
        <w:t>万千瓦时，初步分月计划</w:t>
      </w:r>
      <w:r>
        <w:rPr>
          <w:rFonts w:hint="eastAsia" w:asciiTheme="minorEastAsia" w:hAnsiTheme="minorEastAsia" w:cstheme="minorEastAsia"/>
          <w:bCs/>
          <w:color w:val="auto"/>
          <w:sz w:val="28"/>
          <w:szCs w:val="28"/>
          <w:highlight w:val="none"/>
          <w:lang w:val="en-US" w:eastAsia="zh-CN"/>
        </w:rPr>
        <w:t>电量</w:t>
      </w:r>
      <w:r>
        <w:rPr>
          <w:rFonts w:hint="eastAsia" w:asciiTheme="minorEastAsia" w:hAnsiTheme="minorEastAsia" w:cstheme="minorEastAsia"/>
          <w:bCs/>
          <w:color w:val="auto"/>
          <w:sz w:val="28"/>
          <w:szCs w:val="28"/>
          <w:highlight w:val="none"/>
        </w:rPr>
        <w:t>如下：</w:t>
      </w:r>
    </w:p>
    <w:tbl>
      <w:tblPr>
        <w:tblStyle w:val="3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14:paraId="5619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40B384E">
            <w:pPr>
              <w:spacing w:line="600" w:lineRule="exact"/>
              <w:jc w:val="center"/>
              <w:rPr>
                <w:rFonts w:asciiTheme="minorEastAsia" w:hAnsiTheme="minorEastAsia" w:cstheme="minorEastAsia"/>
                <w:b/>
                <w:color w:val="auto"/>
                <w:sz w:val="18"/>
                <w:szCs w:val="18"/>
                <w:highlight w:val="none"/>
              </w:rPr>
            </w:pPr>
            <w:r>
              <w:rPr>
                <w:rFonts w:hint="eastAsia" w:asciiTheme="minorEastAsia" w:hAnsiTheme="minorEastAsia" w:cstheme="minorEastAsia"/>
                <w:b/>
                <w:color w:val="auto"/>
                <w:sz w:val="18"/>
                <w:szCs w:val="18"/>
                <w:highlight w:val="none"/>
              </w:rPr>
              <w:t>时间</w:t>
            </w:r>
          </w:p>
        </w:tc>
        <w:tc>
          <w:tcPr>
            <w:tcW w:w="1547" w:type="dxa"/>
          </w:tcPr>
          <w:p w14:paraId="65844591">
            <w:pPr>
              <w:spacing w:line="600" w:lineRule="exact"/>
              <w:jc w:val="center"/>
              <w:rPr>
                <w:rFonts w:asciiTheme="minorEastAsia" w:hAnsiTheme="minorEastAsia" w:cstheme="minorEastAsia"/>
                <w:b/>
                <w:color w:val="auto"/>
                <w:sz w:val="18"/>
                <w:szCs w:val="18"/>
                <w:highlight w:val="none"/>
              </w:rPr>
            </w:pPr>
            <w:r>
              <w:rPr>
                <w:rFonts w:hint="eastAsia" w:asciiTheme="minorEastAsia" w:hAnsiTheme="minorEastAsia" w:cstheme="minorEastAsia"/>
                <w:b/>
                <w:color w:val="auto"/>
                <w:sz w:val="18"/>
                <w:szCs w:val="18"/>
                <w:highlight w:val="none"/>
              </w:rPr>
              <w:t>电量（万千瓦时）</w:t>
            </w:r>
          </w:p>
        </w:tc>
        <w:tc>
          <w:tcPr>
            <w:tcW w:w="1548" w:type="dxa"/>
          </w:tcPr>
          <w:p w14:paraId="512C1FB6">
            <w:pPr>
              <w:spacing w:line="600" w:lineRule="exact"/>
              <w:jc w:val="center"/>
              <w:rPr>
                <w:rFonts w:asciiTheme="minorEastAsia" w:hAnsiTheme="minorEastAsia" w:cstheme="minorEastAsia"/>
                <w:b/>
                <w:color w:val="auto"/>
                <w:sz w:val="18"/>
                <w:szCs w:val="18"/>
                <w:highlight w:val="none"/>
              </w:rPr>
            </w:pPr>
            <w:r>
              <w:rPr>
                <w:rFonts w:hint="eastAsia" w:asciiTheme="minorEastAsia" w:hAnsiTheme="minorEastAsia" w:cstheme="minorEastAsia"/>
                <w:b/>
                <w:color w:val="auto"/>
                <w:sz w:val="18"/>
                <w:szCs w:val="18"/>
                <w:highlight w:val="none"/>
              </w:rPr>
              <w:t>时间</w:t>
            </w:r>
          </w:p>
        </w:tc>
        <w:tc>
          <w:tcPr>
            <w:tcW w:w="1548" w:type="dxa"/>
          </w:tcPr>
          <w:p w14:paraId="0FFFBDA3">
            <w:pPr>
              <w:spacing w:line="600" w:lineRule="exact"/>
              <w:jc w:val="center"/>
              <w:rPr>
                <w:rFonts w:asciiTheme="minorEastAsia" w:hAnsiTheme="minorEastAsia" w:cstheme="minorEastAsia"/>
                <w:b/>
                <w:color w:val="auto"/>
                <w:sz w:val="18"/>
                <w:szCs w:val="18"/>
                <w:highlight w:val="none"/>
              </w:rPr>
            </w:pPr>
            <w:r>
              <w:rPr>
                <w:rFonts w:hint="eastAsia" w:asciiTheme="minorEastAsia" w:hAnsiTheme="minorEastAsia" w:cstheme="minorEastAsia"/>
                <w:b/>
                <w:color w:val="auto"/>
                <w:sz w:val="18"/>
                <w:szCs w:val="18"/>
                <w:highlight w:val="none"/>
              </w:rPr>
              <w:t>电量（万千瓦时）</w:t>
            </w:r>
          </w:p>
        </w:tc>
        <w:tc>
          <w:tcPr>
            <w:tcW w:w="1548" w:type="dxa"/>
          </w:tcPr>
          <w:p w14:paraId="2EC154A8">
            <w:pPr>
              <w:spacing w:line="600" w:lineRule="exact"/>
              <w:jc w:val="center"/>
              <w:rPr>
                <w:rFonts w:asciiTheme="minorEastAsia" w:hAnsiTheme="minorEastAsia" w:cstheme="minorEastAsia"/>
                <w:b/>
                <w:color w:val="auto"/>
                <w:sz w:val="18"/>
                <w:szCs w:val="18"/>
                <w:highlight w:val="none"/>
              </w:rPr>
            </w:pPr>
            <w:r>
              <w:rPr>
                <w:rFonts w:hint="eastAsia" w:asciiTheme="minorEastAsia" w:hAnsiTheme="minorEastAsia" w:cstheme="minorEastAsia"/>
                <w:b/>
                <w:color w:val="auto"/>
                <w:sz w:val="18"/>
                <w:szCs w:val="18"/>
                <w:highlight w:val="none"/>
              </w:rPr>
              <w:t>时间</w:t>
            </w:r>
          </w:p>
        </w:tc>
        <w:tc>
          <w:tcPr>
            <w:tcW w:w="1548" w:type="dxa"/>
          </w:tcPr>
          <w:p w14:paraId="5CBF2A0A">
            <w:pPr>
              <w:spacing w:line="600" w:lineRule="exact"/>
              <w:jc w:val="center"/>
              <w:rPr>
                <w:rFonts w:asciiTheme="minorEastAsia" w:hAnsiTheme="minorEastAsia" w:cstheme="minorEastAsia"/>
                <w:b/>
                <w:color w:val="auto"/>
                <w:sz w:val="18"/>
                <w:szCs w:val="18"/>
                <w:highlight w:val="none"/>
              </w:rPr>
            </w:pPr>
            <w:r>
              <w:rPr>
                <w:rFonts w:hint="eastAsia" w:asciiTheme="minorEastAsia" w:hAnsiTheme="minorEastAsia" w:cstheme="minorEastAsia"/>
                <w:b/>
                <w:color w:val="auto"/>
                <w:sz w:val="18"/>
                <w:szCs w:val="18"/>
                <w:highlight w:val="none"/>
              </w:rPr>
              <w:t>电量（万千瓦时）</w:t>
            </w:r>
          </w:p>
        </w:tc>
      </w:tr>
      <w:tr w14:paraId="7DB3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47" w:type="dxa"/>
          </w:tcPr>
          <w:p w14:paraId="7FC2DEC1">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1月</w:t>
            </w:r>
          </w:p>
        </w:tc>
        <w:tc>
          <w:tcPr>
            <w:tcW w:w="1547" w:type="dxa"/>
          </w:tcPr>
          <w:p w14:paraId="3ED5DCEC">
            <w:pPr>
              <w:spacing w:line="600" w:lineRule="exact"/>
              <w:jc w:val="center"/>
              <w:rPr>
                <w:rFonts w:asciiTheme="minorEastAsia" w:hAnsiTheme="minorEastAsia" w:cstheme="minorEastAsia"/>
                <w:bCs/>
                <w:color w:val="auto"/>
                <w:szCs w:val="21"/>
                <w:highlight w:val="none"/>
              </w:rPr>
            </w:pPr>
          </w:p>
        </w:tc>
        <w:tc>
          <w:tcPr>
            <w:tcW w:w="1548" w:type="dxa"/>
          </w:tcPr>
          <w:p w14:paraId="02A55CFF">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5月</w:t>
            </w:r>
          </w:p>
        </w:tc>
        <w:tc>
          <w:tcPr>
            <w:tcW w:w="1548" w:type="dxa"/>
          </w:tcPr>
          <w:p w14:paraId="4D49037C">
            <w:pPr>
              <w:spacing w:line="600" w:lineRule="exact"/>
              <w:jc w:val="center"/>
              <w:rPr>
                <w:rFonts w:asciiTheme="minorEastAsia" w:hAnsiTheme="minorEastAsia" w:cstheme="minorEastAsia"/>
                <w:bCs/>
                <w:color w:val="auto"/>
                <w:szCs w:val="21"/>
                <w:highlight w:val="none"/>
              </w:rPr>
            </w:pPr>
          </w:p>
        </w:tc>
        <w:tc>
          <w:tcPr>
            <w:tcW w:w="1548" w:type="dxa"/>
          </w:tcPr>
          <w:p w14:paraId="2BEA066F">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9月</w:t>
            </w:r>
          </w:p>
        </w:tc>
        <w:tc>
          <w:tcPr>
            <w:tcW w:w="1548" w:type="dxa"/>
          </w:tcPr>
          <w:p w14:paraId="4480CE9E">
            <w:pPr>
              <w:spacing w:line="600" w:lineRule="exact"/>
              <w:jc w:val="center"/>
              <w:rPr>
                <w:rFonts w:asciiTheme="minorEastAsia" w:hAnsiTheme="minorEastAsia" w:cstheme="minorEastAsia"/>
                <w:bCs/>
                <w:color w:val="auto"/>
                <w:szCs w:val="21"/>
                <w:highlight w:val="none"/>
              </w:rPr>
            </w:pPr>
          </w:p>
        </w:tc>
      </w:tr>
      <w:tr w14:paraId="4E76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47" w:type="dxa"/>
          </w:tcPr>
          <w:p w14:paraId="294989E5">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2月</w:t>
            </w:r>
          </w:p>
        </w:tc>
        <w:tc>
          <w:tcPr>
            <w:tcW w:w="1547" w:type="dxa"/>
          </w:tcPr>
          <w:p w14:paraId="52545D70">
            <w:pPr>
              <w:spacing w:line="600" w:lineRule="exact"/>
              <w:jc w:val="center"/>
              <w:rPr>
                <w:rFonts w:asciiTheme="minorEastAsia" w:hAnsiTheme="minorEastAsia" w:cstheme="minorEastAsia"/>
                <w:bCs/>
                <w:color w:val="auto"/>
                <w:szCs w:val="21"/>
                <w:highlight w:val="none"/>
              </w:rPr>
            </w:pPr>
          </w:p>
        </w:tc>
        <w:tc>
          <w:tcPr>
            <w:tcW w:w="1548" w:type="dxa"/>
          </w:tcPr>
          <w:p w14:paraId="787AAA7B">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6月</w:t>
            </w:r>
          </w:p>
        </w:tc>
        <w:tc>
          <w:tcPr>
            <w:tcW w:w="1548" w:type="dxa"/>
          </w:tcPr>
          <w:p w14:paraId="43E3B0AC">
            <w:pPr>
              <w:spacing w:line="600" w:lineRule="exact"/>
              <w:jc w:val="center"/>
              <w:rPr>
                <w:rFonts w:asciiTheme="minorEastAsia" w:hAnsiTheme="minorEastAsia" w:cstheme="minorEastAsia"/>
                <w:bCs/>
                <w:color w:val="auto"/>
                <w:szCs w:val="21"/>
                <w:highlight w:val="none"/>
              </w:rPr>
            </w:pPr>
          </w:p>
        </w:tc>
        <w:tc>
          <w:tcPr>
            <w:tcW w:w="1548" w:type="dxa"/>
          </w:tcPr>
          <w:p w14:paraId="12B5E5BB">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10月</w:t>
            </w:r>
          </w:p>
        </w:tc>
        <w:tc>
          <w:tcPr>
            <w:tcW w:w="1548" w:type="dxa"/>
          </w:tcPr>
          <w:p w14:paraId="68604723">
            <w:pPr>
              <w:spacing w:line="600" w:lineRule="exact"/>
              <w:jc w:val="center"/>
              <w:rPr>
                <w:rFonts w:asciiTheme="minorEastAsia" w:hAnsiTheme="minorEastAsia" w:cstheme="minorEastAsia"/>
                <w:bCs/>
                <w:color w:val="auto"/>
                <w:szCs w:val="21"/>
                <w:highlight w:val="none"/>
              </w:rPr>
            </w:pPr>
          </w:p>
        </w:tc>
      </w:tr>
      <w:tr w14:paraId="1CCA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47" w:type="dxa"/>
          </w:tcPr>
          <w:p w14:paraId="72572166">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3月</w:t>
            </w:r>
          </w:p>
        </w:tc>
        <w:tc>
          <w:tcPr>
            <w:tcW w:w="1547" w:type="dxa"/>
          </w:tcPr>
          <w:p w14:paraId="60A96C16">
            <w:pPr>
              <w:spacing w:line="600" w:lineRule="exact"/>
              <w:jc w:val="center"/>
              <w:rPr>
                <w:rFonts w:asciiTheme="minorEastAsia" w:hAnsiTheme="minorEastAsia" w:cstheme="minorEastAsia"/>
                <w:bCs/>
                <w:color w:val="auto"/>
                <w:szCs w:val="21"/>
                <w:highlight w:val="none"/>
              </w:rPr>
            </w:pPr>
          </w:p>
        </w:tc>
        <w:tc>
          <w:tcPr>
            <w:tcW w:w="1548" w:type="dxa"/>
          </w:tcPr>
          <w:p w14:paraId="69AAAF65">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7月</w:t>
            </w:r>
          </w:p>
        </w:tc>
        <w:tc>
          <w:tcPr>
            <w:tcW w:w="1548" w:type="dxa"/>
          </w:tcPr>
          <w:p w14:paraId="2846D707">
            <w:pPr>
              <w:spacing w:line="600" w:lineRule="exact"/>
              <w:jc w:val="center"/>
              <w:rPr>
                <w:rFonts w:asciiTheme="minorEastAsia" w:hAnsiTheme="minorEastAsia" w:cstheme="minorEastAsia"/>
                <w:bCs/>
                <w:color w:val="auto"/>
                <w:szCs w:val="21"/>
                <w:highlight w:val="none"/>
              </w:rPr>
            </w:pPr>
          </w:p>
        </w:tc>
        <w:tc>
          <w:tcPr>
            <w:tcW w:w="1548" w:type="dxa"/>
          </w:tcPr>
          <w:p w14:paraId="3C608958">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11月</w:t>
            </w:r>
          </w:p>
        </w:tc>
        <w:tc>
          <w:tcPr>
            <w:tcW w:w="1548" w:type="dxa"/>
          </w:tcPr>
          <w:p w14:paraId="00A8DEE1">
            <w:pPr>
              <w:spacing w:line="600" w:lineRule="exact"/>
              <w:jc w:val="center"/>
              <w:rPr>
                <w:rFonts w:asciiTheme="minorEastAsia" w:hAnsiTheme="minorEastAsia" w:cstheme="minorEastAsia"/>
                <w:bCs/>
                <w:color w:val="auto"/>
                <w:szCs w:val="21"/>
                <w:highlight w:val="none"/>
              </w:rPr>
            </w:pPr>
          </w:p>
        </w:tc>
      </w:tr>
      <w:tr w14:paraId="6A24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47" w:type="dxa"/>
          </w:tcPr>
          <w:p w14:paraId="5717D221">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4月</w:t>
            </w:r>
          </w:p>
        </w:tc>
        <w:tc>
          <w:tcPr>
            <w:tcW w:w="1547" w:type="dxa"/>
          </w:tcPr>
          <w:p w14:paraId="54644F6F">
            <w:pPr>
              <w:spacing w:line="600" w:lineRule="exact"/>
              <w:jc w:val="center"/>
              <w:rPr>
                <w:rFonts w:asciiTheme="minorEastAsia" w:hAnsiTheme="minorEastAsia" w:cstheme="minorEastAsia"/>
                <w:bCs/>
                <w:color w:val="auto"/>
                <w:szCs w:val="21"/>
                <w:highlight w:val="none"/>
              </w:rPr>
            </w:pPr>
          </w:p>
        </w:tc>
        <w:tc>
          <w:tcPr>
            <w:tcW w:w="1548" w:type="dxa"/>
          </w:tcPr>
          <w:p w14:paraId="2A6A1D85">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8月</w:t>
            </w:r>
          </w:p>
        </w:tc>
        <w:tc>
          <w:tcPr>
            <w:tcW w:w="1548" w:type="dxa"/>
          </w:tcPr>
          <w:p w14:paraId="0FA79235">
            <w:pPr>
              <w:spacing w:line="600" w:lineRule="exact"/>
              <w:jc w:val="center"/>
              <w:rPr>
                <w:rFonts w:asciiTheme="minorEastAsia" w:hAnsiTheme="minorEastAsia" w:cstheme="minorEastAsia"/>
                <w:bCs/>
                <w:color w:val="auto"/>
                <w:szCs w:val="21"/>
                <w:highlight w:val="none"/>
              </w:rPr>
            </w:pPr>
          </w:p>
        </w:tc>
        <w:tc>
          <w:tcPr>
            <w:tcW w:w="1548" w:type="dxa"/>
          </w:tcPr>
          <w:p w14:paraId="0E739071">
            <w:pPr>
              <w:spacing w:line="600" w:lineRule="exact"/>
              <w:jc w:val="center"/>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12月</w:t>
            </w:r>
          </w:p>
        </w:tc>
        <w:tc>
          <w:tcPr>
            <w:tcW w:w="1548" w:type="dxa"/>
          </w:tcPr>
          <w:p w14:paraId="2B7EF44E">
            <w:pPr>
              <w:spacing w:line="600" w:lineRule="exact"/>
              <w:jc w:val="center"/>
              <w:rPr>
                <w:rFonts w:asciiTheme="minorEastAsia" w:hAnsiTheme="minorEastAsia" w:cstheme="minorEastAsia"/>
                <w:bCs/>
                <w:color w:val="auto"/>
                <w:szCs w:val="21"/>
                <w:highlight w:val="none"/>
              </w:rPr>
            </w:pPr>
          </w:p>
        </w:tc>
      </w:tr>
    </w:tbl>
    <w:p w14:paraId="03F0A502">
      <w:pPr>
        <w:keepNext w:val="0"/>
        <w:keepLines w:val="0"/>
        <w:pageBreakBefore w:val="0"/>
        <w:widowControl w:val="0"/>
        <w:kinsoku/>
        <w:wordWrap/>
        <w:overflowPunct/>
        <w:topLinePunct w:val="0"/>
        <w:autoSpaceDE/>
        <w:autoSpaceDN/>
        <w:bidi w:val="0"/>
        <w:adjustRightInd/>
        <w:spacing w:line="600" w:lineRule="exact"/>
        <w:ind w:left="0" w:firstLine="570"/>
        <w:textAlignment w:val="auto"/>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备注：以最终成交结果及申报的乙方用电量预测值为准。</w:t>
      </w:r>
    </w:p>
    <w:p w14:paraId="10F8A095">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default"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4.5零售套餐</w:t>
      </w:r>
    </w:p>
    <w:p w14:paraId="2F51A9DD">
      <w:pPr>
        <w:keepNext w:val="0"/>
        <w:keepLines w:val="0"/>
        <w:pageBreakBefore w:val="0"/>
        <w:widowControl w:val="0"/>
        <w:numPr>
          <w:ilvl w:val="255"/>
          <w:numId w:val="0"/>
        </w:numPr>
        <w:kinsoku/>
        <w:wordWrap/>
        <w:overflowPunct/>
        <w:topLinePunct w:val="0"/>
        <w:autoSpaceDE/>
        <w:autoSpaceDN/>
        <w:bidi w:val="0"/>
        <w:adjustRightInd/>
        <w:spacing w:line="600" w:lineRule="exact"/>
        <w:ind w:left="0" w:firstLine="641"/>
        <w:textAlignment w:val="auto"/>
        <w:rPr>
          <w:rFonts w:ascii="Arial" w:hAnsi="Arial" w:cs="Arial"/>
          <w:color w:val="auto"/>
          <w:sz w:val="28"/>
          <w:szCs w:val="28"/>
          <w:highlight w:val="none"/>
        </w:rPr>
      </w:pPr>
      <w:r>
        <w:rPr>
          <w:rFonts w:hint="eastAsia" w:asciiTheme="minorEastAsia" w:hAnsiTheme="minorEastAsia" w:cstheme="minorEastAsia"/>
          <w:bCs/>
          <w:color w:val="auto"/>
          <w:sz w:val="28"/>
          <w:szCs w:val="28"/>
          <w:highlight w:val="none"/>
        </w:rPr>
        <w:t>双方一致同意按</w:t>
      </w:r>
      <w:r>
        <w:rPr>
          <w:rFonts w:hint="eastAsia" w:asciiTheme="minorEastAsia" w:hAnsiTheme="minorEastAsia" w:cstheme="minorEastAsia"/>
          <w:bCs/>
          <w:color w:val="auto"/>
          <w:sz w:val="28"/>
          <w:szCs w:val="28"/>
          <w:highlight w:val="none"/>
          <w:u w:val="single"/>
        </w:rPr>
        <w:t xml:space="preserve">     </w:t>
      </w:r>
      <w:r>
        <w:rPr>
          <w:rFonts w:asciiTheme="minorEastAsia" w:hAnsiTheme="minorEastAsia" w:cstheme="minorEastAsia"/>
          <w:bCs/>
          <w:color w:val="auto"/>
          <w:sz w:val="28"/>
          <w:szCs w:val="28"/>
          <w:highlight w:val="none"/>
          <w:u w:val="single"/>
        </w:rPr>
        <w:t xml:space="preserve">      </w:t>
      </w:r>
      <w:r>
        <w:rPr>
          <w:rFonts w:hint="eastAsia" w:asciiTheme="minorEastAsia" w:hAnsiTheme="minorEastAsia" w:cstheme="minorEastAsia"/>
          <w:bCs/>
          <w:color w:val="auto"/>
          <w:sz w:val="28"/>
          <w:szCs w:val="28"/>
          <w:highlight w:val="none"/>
          <w:u w:val="single"/>
        </w:rPr>
        <w:t xml:space="preserve"> </w:t>
      </w:r>
      <w:r>
        <w:rPr>
          <w:rFonts w:hint="eastAsia" w:asciiTheme="minorEastAsia" w:hAnsiTheme="minorEastAsia" w:cstheme="minorEastAsia"/>
          <w:bCs/>
          <w:color w:val="auto"/>
          <w:sz w:val="28"/>
          <w:szCs w:val="28"/>
          <w:highlight w:val="none"/>
        </w:rPr>
        <w:t xml:space="preserve"> （必选项，</w:t>
      </w:r>
      <w:r>
        <w:rPr>
          <w:rFonts w:hint="eastAsia" w:asciiTheme="minorEastAsia" w:hAnsiTheme="minorEastAsia"/>
          <w:color w:val="auto"/>
          <w:sz w:val="28"/>
          <w:szCs w:val="28"/>
          <w:highlight w:val="none"/>
          <w:lang w:val="en-US" w:eastAsia="zh-CN"/>
        </w:rPr>
        <w:t>固定价格套餐、</w:t>
      </w:r>
      <w:r>
        <w:rPr>
          <w:rFonts w:hint="eastAsia" w:ascii="Arial" w:hAnsi="Arial" w:cs="Arial"/>
          <w:color w:val="auto"/>
          <w:sz w:val="28"/>
          <w:szCs w:val="28"/>
          <w:highlight w:val="none"/>
        </w:rPr>
        <w:t>固定</w:t>
      </w:r>
      <w:r>
        <w:rPr>
          <w:rFonts w:hint="eastAsia" w:asciiTheme="minorEastAsia" w:hAnsiTheme="minorEastAsia"/>
          <w:color w:val="auto"/>
          <w:sz w:val="28"/>
          <w:szCs w:val="28"/>
          <w:highlight w:val="none"/>
          <w:lang w:val="en-US" w:eastAsia="zh-CN"/>
        </w:rPr>
        <w:t>价格</w:t>
      </w:r>
      <w:r>
        <w:rPr>
          <w:rFonts w:hint="eastAsia" w:ascii="Arial" w:hAnsi="Arial" w:cs="Arial"/>
          <w:color w:val="auto"/>
          <w:sz w:val="28"/>
          <w:szCs w:val="28"/>
          <w:highlight w:val="none"/>
        </w:rPr>
        <w:t>+市场联动</w:t>
      </w:r>
      <w:r>
        <w:rPr>
          <w:rFonts w:hint="eastAsia" w:ascii="Arial" w:hAnsi="Arial" w:cs="Arial"/>
          <w:color w:val="auto"/>
          <w:sz w:val="28"/>
          <w:szCs w:val="28"/>
          <w:highlight w:val="none"/>
          <w:lang w:val="en-US" w:eastAsia="zh-CN"/>
        </w:rPr>
        <w:t>套餐</w:t>
      </w:r>
      <w:r>
        <w:rPr>
          <w:rFonts w:hint="eastAsia" w:ascii="Arial" w:hAnsi="Arial" w:cs="Arial"/>
          <w:color w:val="auto"/>
          <w:sz w:val="28"/>
          <w:szCs w:val="28"/>
          <w:highlight w:val="none"/>
        </w:rPr>
        <w:t>、比例分成</w:t>
      </w:r>
      <w:r>
        <w:rPr>
          <w:rFonts w:hint="eastAsia" w:ascii="Arial" w:hAnsi="Arial" w:cs="Arial"/>
          <w:color w:val="auto"/>
          <w:sz w:val="28"/>
          <w:szCs w:val="28"/>
          <w:highlight w:val="none"/>
          <w:lang w:val="en-US" w:eastAsia="zh-CN"/>
        </w:rPr>
        <w:t>套餐</w:t>
      </w:r>
      <w:r>
        <w:rPr>
          <w:rFonts w:hint="eastAsia" w:ascii="Arial" w:hAnsi="Arial" w:cs="Arial"/>
          <w:color w:val="auto"/>
          <w:sz w:val="28"/>
          <w:szCs w:val="28"/>
          <w:highlight w:val="none"/>
        </w:rPr>
        <w:t>、</w:t>
      </w:r>
      <w:r>
        <w:rPr>
          <w:rFonts w:hint="eastAsia" w:ascii="Arial" w:hAnsi="Arial" w:cs="Arial"/>
          <w:color w:val="auto"/>
          <w:sz w:val="28"/>
          <w:szCs w:val="28"/>
          <w:highlight w:val="none"/>
          <w:lang w:val="en-US" w:eastAsia="zh-CN"/>
        </w:rPr>
        <w:t>固定价格+</w:t>
      </w:r>
      <w:r>
        <w:rPr>
          <w:rFonts w:hint="eastAsia" w:ascii="Arial" w:hAnsi="Arial" w:cs="Arial"/>
          <w:color w:val="auto"/>
          <w:sz w:val="28"/>
          <w:szCs w:val="28"/>
          <w:highlight w:val="none"/>
        </w:rPr>
        <w:t>服务费</w:t>
      </w:r>
      <w:r>
        <w:rPr>
          <w:rFonts w:hint="eastAsia" w:ascii="Arial" w:hAnsi="Arial" w:cs="Arial"/>
          <w:color w:val="auto"/>
          <w:sz w:val="28"/>
          <w:szCs w:val="28"/>
          <w:highlight w:val="none"/>
          <w:lang w:val="en-US" w:eastAsia="zh-CN"/>
        </w:rPr>
        <w:t>套餐</w:t>
      </w:r>
      <w:r>
        <w:rPr>
          <w:rFonts w:hint="eastAsia" w:ascii="Arial" w:hAnsi="Arial" w:cs="Arial"/>
          <w:color w:val="auto"/>
          <w:sz w:val="28"/>
          <w:szCs w:val="28"/>
          <w:highlight w:val="none"/>
        </w:rPr>
        <w:t>，任选其一）</w:t>
      </w:r>
      <w:r>
        <w:rPr>
          <w:rFonts w:hint="eastAsia" w:asciiTheme="minorEastAsia" w:hAnsiTheme="minorEastAsia" w:cstheme="minorEastAsia"/>
          <w:bCs/>
          <w:color w:val="auto"/>
          <w:sz w:val="28"/>
          <w:szCs w:val="28"/>
          <w:highlight w:val="none"/>
        </w:rPr>
        <w:t>确定</w:t>
      </w:r>
      <w:r>
        <w:rPr>
          <w:rFonts w:hint="eastAsia" w:asciiTheme="minorEastAsia" w:hAnsiTheme="minorEastAsia" w:cstheme="minorEastAsia"/>
          <w:bCs/>
          <w:color w:val="auto"/>
          <w:sz w:val="28"/>
          <w:szCs w:val="28"/>
          <w:highlight w:val="none"/>
          <w:lang w:val="en-US" w:eastAsia="zh-CN"/>
        </w:rPr>
        <w:t>零售交易电费及服务费</w:t>
      </w:r>
      <w:r>
        <w:rPr>
          <w:rFonts w:hint="eastAsia" w:asciiTheme="minorEastAsia" w:hAnsiTheme="minorEastAsia" w:cstheme="minorEastAsia"/>
          <w:bCs/>
          <w:color w:val="auto"/>
          <w:sz w:val="28"/>
          <w:szCs w:val="28"/>
          <w:highlight w:val="none"/>
        </w:rPr>
        <w:t>。</w:t>
      </w:r>
    </w:p>
    <w:p w14:paraId="18FB0504">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4.5.1固定价格套餐</w:t>
      </w:r>
    </w:p>
    <w:p w14:paraId="6DAC0BC1">
      <w:pPr>
        <w:pStyle w:val="14"/>
        <w:keepNext w:val="0"/>
        <w:keepLines w:val="0"/>
        <w:pageBreakBefore w:val="0"/>
        <w:widowControl w:val="0"/>
        <w:kinsoku/>
        <w:wordWrap/>
        <w:overflowPunct/>
        <w:topLinePunct w:val="0"/>
        <w:autoSpaceDE/>
        <w:autoSpaceDN/>
        <w:bidi w:val="0"/>
        <w:adjustRightInd/>
        <w:snapToGrid/>
        <w:spacing w:before="0" w:after="0" w:line="600" w:lineRule="exact"/>
        <w:ind w:left="0" w:firstLine="560" w:firstLineChars="200"/>
        <w:jc w:val="both"/>
        <w:textAlignment w:val="auto"/>
        <w:outlineLvl w:val="9"/>
        <w:rPr>
          <w:rFonts w:hint="eastAsia" w:cs="宋体"/>
          <w:b w:val="0"/>
          <w:bCs w:val="0"/>
          <w:color w:val="auto"/>
          <w:sz w:val="28"/>
          <w:szCs w:val="28"/>
          <w:highlight w:val="none"/>
          <w:shd w:val="clear" w:color="auto" w:fill="FFFFFF"/>
          <w:lang w:eastAsia="zh-CN"/>
        </w:rPr>
      </w:pPr>
      <w:bookmarkStart w:id="46" w:name="_Toc22961"/>
      <w:r>
        <w:rPr>
          <w:rFonts w:hint="eastAsia" w:ascii="宋体" w:hAnsi="宋体" w:eastAsia="宋体" w:cs="宋体"/>
          <w:b w:val="0"/>
          <w:bCs w:val="0"/>
          <w:color w:val="auto"/>
          <w:sz w:val="28"/>
          <w:szCs w:val="28"/>
          <w:highlight w:val="none"/>
          <w:shd w:val="clear" w:color="auto" w:fill="FFFFFF"/>
        </w:rPr>
        <w:t>甲方</w:t>
      </w:r>
      <w:r>
        <w:rPr>
          <w:rFonts w:hint="eastAsia"/>
          <w:b w:val="0"/>
          <w:bCs w:val="0"/>
          <w:color w:val="auto"/>
          <w:sz w:val="28"/>
          <w:szCs w:val="28"/>
          <w:highlight w:val="none"/>
          <w:shd w:val="clear" w:color="auto" w:fill="FFFFFF"/>
        </w:rPr>
        <w:t>名下各工商业计量点实际总用电量（</w:t>
      </w:r>
      <w:r>
        <w:rPr>
          <w:rFonts w:hint="eastAsia"/>
          <w:b w:val="0"/>
          <w:bCs w:val="0"/>
          <w:color w:val="auto"/>
          <w:sz w:val="28"/>
          <w:szCs w:val="28"/>
          <w:highlight w:val="none"/>
          <w:shd w:val="clear" w:color="auto" w:fill="FFFFFF"/>
          <w:lang w:val="en-US" w:eastAsia="zh-CN"/>
        </w:rPr>
        <w:t>全文</w:t>
      </w:r>
      <w:r>
        <w:rPr>
          <w:rFonts w:hint="eastAsia"/>
          <w:b w:val="0"/>
          <w:bCs w:val="0"/>
          <w:color w:val="auto"/>
          <w:sz w:val="28"/>
          <w:szCs w:val="28"/>
          <w:highlight w:val="none"/>
          <w:shd w:val="clear" w:color="auto" w:fill="FFFFFF"/>
        </w:rPr>
        <w:t>以下简称“实际总用电量”）</w:t>
      </w:r>
      <w:r>
        <w:rPr>
          <w:rFonts w:hint="eastAsia" w:ascii="宋体" w:hAnsi="宋体" w:eastAsia="宋体" w:cs="宋体"/>
          <w:b w:val="0"/>
          <w:bCs w:val="0"/>
          <w:color w:val="auto"/>
          <w:sz w:val="28"/>
          <w:szCs w:val="28"/>
          <w:highlight w:val="none"/>
          <w:shd w:val="clear" w:color="auto" w:fill="FFFFFF"/>
        </w:rPr>
        <w:t>，以月度为结算周期，全电量按照</w:t>
      </w:r>
      <w:r>
        <w:rPr>
          <w:rFonts w:ascii="宋体" w:hAnsi="宋体" w:eastAsia="宋体" w:cs="宋体"/>
          <w:b w:val="0"/>
          <w:bCs w:val="0"/>
          <w:color w:val="auto"/>
          <w:sz w:val="28"/>
          <w:szCs w:val="28"/>
          <w:highlight w:val="none"/>
          <w:shd w:val="clear" w:color="auto" w:fill="FFFFFF"/>
        </w:rPr>
        <w:t>固定价格</w:t>
      </w:r>
      <w:r>
        <w:rPr>
          <w:rFonts w:hint="eastAsia" w:cs="宋体"/>
          <w:b w:val="0"/>
          <w:bCs w:val="0"/>
          <w:color w:val="auto"/>
          <w:sz w:val="28"/>
          <w:szCs w:val="28"/>
          <w:highlight w:val="none"/>
          <w:shd w:val="clear" w:color="auto" w:fill="FFFFFF"/>
          <w:lang w:val="en-US" w:eastAsia="zh-CN"/>
        </w:rPr>
        <w:t>电费</w:t>
      </w:r>
      <w:r>
        <w:rPr>
          <w:rFonts w:hint="eastAsia" w:ascii="宋体" w:hAnsi="宋体" w:eastAsia="宋体" w:cs="宋体"/>
          <w:b w:val="0"/>
          <w:bCs w:val="0"/>
          <w:color w:val="auto"/>
          <w:sz w:val="28"/>
          <w:szCs w:val="28"/>
          <w:highlight w:val="none"/>
          <w:shd w:val="clear" w:color="auto" w:fill="FFFFFF"/>
        </w:rPr>
        <w:t>方式结算</w:t>
      </w:r>
      <w:r>
        <w:rPr>
          <w:rFonts w:hint="eastAsia" w:cs="宋体"/>
          <w:b w:val="0"/>
          <w:bCs w:val="0"/>
          <w:color w:val="auto"/>
          <w:sz w:val="28"/>
          <w:szCs w:val="28"/>
          <w:highlight w:val="none"/>
          <w:shd w:val="clear" w:color="auto" w:fill="FFFFFF"/>
          <w:lang w:eastAsia="zh-CN"/>
        </w:rPr>
        <w:t>。</w:t>
      </w:r>
      <w:bookmarkEnd w:id="46"/>
    </w:p>
    <w:p w14:paraId="48FE56B9">
      <w:pPr>
        <w:pStyle w:val="15"/>
        <w:keepNext w:val="0"/>
        <w:keepLines w:val="0"/>
        <w:pageBreakBefore w:val="0"/>
        <w:widowControl w:val="0"/>
        <w:kinsoku/>
        <w:wordWrap/>
        <w:overflowPunct/>
        <w:topLinePunct w:val="0"/>
        <w:autoSpaceDE/>
        <w:autoSpaceDN/>
        <w:bidi w:val="0"/>
        <w:adjustRightInd/>
        <w:snapToGrid/>
        <w:spacing w:before="0" w:after="0" w:line="600" w:lineRule="exact"/>
        <w:ind w:left="0" w:firstLine="560" w:firstLineChars="200"/>
        <w:jc w:val="both"/>
        <w:textAlignment w:val="auto"/>
        <w:outlineLvl w:val="9"/>
        <w:rPr>
          <w:rFonts w:hint="eastAsia" w:ascii="宋体" w:hAnsi="宋体" w:eastAsia="宋体" w:cs="宋体"/>
          <w:b w:val="0"/>
          <w:bCs w:val="0"/>
          <w:color w:val="auto"/>
          <w:sz w:val="28"/>
          <w:szCs w:val="28"/>
          <w:highlight w:val="none"/>
          <w:shd w:val="clear" w:color="auto" w:fill="FFFFFF"/>
          <w:lang w:eastAsia="zh-CN"/>
        </w:rPr>
      </w:pPr>
      <w:bookmarkStart w:id="47" w:name="_Toc9402"/>
      <w:r>
        <w:rPr>
          <w:rFonts w:hint="eastAsia" w:ascii="宋体" w:hAnsi="宋体" w:eastAsia="宋体" w:cs="宋体"/>
          <w:b w:val="0"/>
          <w:bCs w:val="0"/>
          <w:color w:val="auto"/>
          <w:sz w:val="28"/>
          <w:szCs w:val="28"/>
          <w:highlight w:val="none"/>
          <w:shd w:val="clear" w:color="auto" w:fill="FFFFFF"/>
        </w:rPr>
        <w:t>甲乙双方约定固定价格为</w:t>
      </w:r>
      <w:r>
        <w:rPr>
          <w:rFonts w:hint="eastAsia" w:ascii="宋体" w:hAnsi="宋体" w:eastAsia="宋体" w:cs="宋体"/>
          <w:color w:val="auto"/>
          <w:sz w:val="28"/>
          <w:szCs w:val="28"/>
          <w:highlight w:val="none"/>
          <w:u w:val="single"/>
          <w:shd w:val="clear" w:color="auto" w:fill="FFFFFF"/>
        </w:rPr>
        <w:t xml:space="preserve">    </w:t>
      </w:r>
      <w:r>
        <w:rPr>
          <w:rFonts w:hint="eastAsia" w:ascii="宋体" w:hAnsi="宋体" w:eastAsia="宋体" w:cs="宋体"/>
          <w:b w:val="0"/>
          <w:bCs w:val="0"/>
          <w:color w:val="auto"/>
          <w:sz w:val="28"/>
          <w:szCs w:val="28"/>
          <w:highlight w:val="none"/>
          <w:shd w:val="clear" w:color="auto" w:fill="FFFFFF"/>
        </w:rPr>
        <w:t>元/千瓦时</w:t>
      </w:r>
      <w:r>
        <w:rPr>
          <w:rFonts w:hint="eastAsia" w:ascii="宋体" w:hAnsi="宋体" w:eastAsia="宋体" w:cs="宋体"/>
          <w:b w:val="0"/>
          <w:bCs w:val="0"/>
          <w:color w:val="auto"/>
          <w:sz w:val="28"/>
          <w:szCs w:val="28"/>
          <w:highlight w:val="none"/>
          <w:shd w:val="clear" w:color="auto" w:fill="FFFFFF"/>
          <w:lang w:eastAsia="zh-CN"/>
        </w:rPr>
        <w:t>。</w:t>
      </w:r>
      <w:bookmarkEnd w:id="47"/>
    </w:p>
    <w:p w14:paraId="2884FF9B">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cs="宋体"/>
          <w:b w:val="0"/>
          <w:bCs w:val="0"/>
          <w:color w:val="auto"/>
          <w:sz w:val="28"/>
          <w:szCs w:val="28"/>
          <w:highlight w:val="none"/>
          <w:shd w:val="clear" w:color="auto" w:fill="FFFFFF"/>
          <w:lang w:eastAsia="zh-CN"/>
        </w:rPr>
      </w:pPr>
      <w:r>
        <w:rPr>
          <w:rFonts w:hint="eastAsia" w:cs="宋体"/>
          <w:b w:val="0"/>
          <w:bCs w:val="0"/>
          <w:color w:val="auto"/>
          <w:sz w:val="28"/>
          <w:szCs w:val="28"/>
          <w:highlight w:val="none"/>
          <w:shd w:val="clear" w:color="auto" w:fill="FFFFFF"/>
          <w:lang w:val="en-US" w:eastAsia="zh-CN"/>
        </w:rPr>
        <w:t>零售交易</w:t>
      </w:r>
      <w:r>
        <w:rPr>
          <w:rFonts w:hint="eastAsia" w:ascii="宋体" w:hAnsi="宋体" w:eastAsia="宋体" w:cs="宋体"/>
          <w:b w:val="0"/>
          <w:bCs w:val="0"/>
          <w:color w:val="auto"/>
          <w:sz w:val="28"/>
          <w:szCs w:val="28"/>
          <w:highlight w:val="none"/>
          <w:shd w:val="clear" w:color="auto" w:fill="FFFFFF"/>
        </w:rPr>
        <w:t>电费</w:t>
      </w:r>
      <w:r>
        <w:rPr>
          <w:rFonts w:hint="eastAsia" w:cs="宋体"/>
          <w:b w:val="0"/>
          <w:bCs w:val="0"/>
          <w:color w:val="auto"/>
          <w:sz w:val="28"/>
          <w:szCs w:val="28"/>
          <w:highlight w:val="none"/>
          <w:shd w:val="clear" w:color="auto" w:fill="FFFFFF"/>
          <w:lang w:val="en-US" w:eastAsia="zh-CN"/>
        </w:rPr>
        <w:t>=</w:t>
      </w:r>
      <w:r>
        <w:rPr>
          <w:rFonts w:hint="eastAsia"/>
          <w:b w:val="0"/>
          <w:bCs w:val="0"/>
          <w:color w:val="auto"/>
          <w:sz w:val="28"/>
          <w:szCs w:val="28"/>
          <w:highlight w:val="none"/>
          <w:shd w:val="clear" w:color="auto" w:fill="FFFFFF"/>
        </w:rPr>
        <w:t>实际总用电量</w:t>
      </w:r>
      <w:r>
        <w:rPr>
          <w:rFonts w:hint="eastAsia" w:ascii="宋体" w:hAnsi="宋体" w:eastAsia="宋体" w:cs="宋体"/>
          <w:b w:val="0"/>
          <w:bCs w:val="0"/>
          <w:color w:val="auto"/>
          <w:sz w:val="28"/>
          <w:szCs w:val="28"/>
          <w:highlight w:val="none"/>
          <w:shd w:val="clear" w:color="auto" w:fill="FFFFFF"/>
        </w:rPr>
        <w:t>×合同约定的固定价格</w:t>
      </w:r>
      <w:r>
        <w:rPr>
          <w:rFonts w:hint="eastAsia" w:cs="宋体"/>
          <w:b w:val="0"/>
          <w:bCs w:val="0"/>
          <w:color w:val="auto"/>
          <w:sz w:val="28"/>
          <w:szCs w:val="28"/>
          <w:highlight w:val="none"/>
          <w:shd w:val="clear" w:color="auto" w:fill="FFFFFF"/>
          <w:lang w:eastAsia="zh-CN"/>
        </w:rPr>
        <w:t>。</w:t>
      </w:r>
    </w:p>
    <w:p w14:paraId="2A47B2E5">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4.5.2固定价格+市场联动套餐</w:t>
      </w:r>
    </w:p>
    <w:p w14:paraId="1D7D461F">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甲方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，以月度为结算周期，全电量按照</w:t>
      </w:r>
      <w:r>
        <w:rPr>
          <w:rFonts w:ascii="宋体" w:hAnsi="宋体" w:eastAsia="宋体" w:cs="宋体"/>
          <w:color w:val="auto"/>
          <w:sz w:val="28"/>
          <w:szCs w:val="28"/>
          <w:highlight w:val="none"/>
          <w:shd w:val="clear" w:color="auto" w:fill="FFFFFF"/>
        </w:rPr>
        <w:t>固定价格</w:t>
      </w:r>
      <w:r>
        <w:rPr>
          <w:rFonts w:hint="eastAsia" w:ascii="宋体" w:hAnsi="宋体" w:eastAsia="宋体" w:cs="宋体"/>
          <w:color w:val="auto"/>
          <w:sz w:val="28"/>
          <w:szCs w:val="28"/>
          <w:highlight w:val="none"/>
          <w:shd w:val="clear" w:color="auto" w:fill="FFFFFF"/>
        </w:rPr>
        <w:t>+市场联动价格方式结算。</w:t>
      </w:r>
    </w:p>
    <w:p w14:paraId="505A75EE">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甲乙双方约定，固定价格为</w:t>
      </w:r>
      <w:r>
        <w:rPr>
          <w:rFonts w:hint="eastAsia"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元/千瓦时</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用户实际用</w:t>
      </w:r>
      <w:r>
        <w:rPr>
          <w:rFonts w:hint="eastAsia" w:ascii="宋体" w:hAnsi="宋体" w:eastAsia="宋体" w:cs="宋体"/>
          <w:color w:val="auto"/>
          <w:sz w:val="28"/>
          <w:szCs w:val="28"/>
          <w:highlight w:val="none"/>
          <w:shd w:val="clear" w:color="auto" w:fill="FFFFFF"/>
        </w:rPr>
        <w:t>电量</w:t>
      </w:r>
      <w:r>
        <w:rPr>
          <w:rFonts w:hint="eastAsia" w:ascii="宋体" w:hAnsi="宋体" w:eastAsia="宋体" w:cs="宋体"/>
          <w:color w:val="auto"/>
          <w:sz w:val="28"/>
          <w:szCs w:val="28"/>
          <w:highlight w:val="none"/>
          <w:shd w:val="clear" w:color="auto" w:fill="FFFFFF"/>
          <w:lang w:val="en-US" w:eastAsia="zh-CN"/>
        </w:rPr>
        <w:t>的</w:t>
      </w:r>
      <w:r>
        <w:rPr>
          <w:rFonts w:hint="eastAsia"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val="en-US" w:eastAsia="zh-CN"/>
        </w:rPr>
        <w:t>用于</w:t>
      </w:r>
      <w:r>
        <w:rPr>
          <w:rFonts w:hint="eastAsia" w:ascii="宋体" w:hAnsi="宋体" w:eastAsia="宋体" w:cs="宋体"/>
          <w:color w:val="auto"/>
          <w:sz w:val="28"/>
          <w:szCs w:val="28"/>
          <w:highlight w:val="none"/>
          <w:shd w:val="clear" w:color="auto" w:fill="FFFFFF"/>
        </w:rPr>
        <w:t>固定价格</w:t>
      </w:r>
      <w:r>
        <w:rPr>
          <w:rFonts w:hint="eastAsia" w:ascii="宋体" w:hAnsi="宋体" w:eastAsia="宋体" w:cs="宋体"/>
          <w:color w:val="auto"/>
          <w:sz w:val="28"/>
          <w:szCs w:val="28"/>
          <w:highlight w:val="none"/>
          <w:shd w:val="clear" w:color="auto" w:fill="FFFFFF"/>
          <w:lang w:val="en-US" w:eastAsia="zh-CN"/>
        </w:rPr>
        <w:t>电费计算</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val="en-US" w:eastAsia="zh-CN"/>
        </w:rPr>
        <w:t>用户实际用</w:t>
      </w:r>
      <w:r>
        <w:rPr>
          <w:rFonts w:hint="eastAsia" w:ascii="宋体" w:hAnsi="宋体" w:eastAsia="宋体" w:cs="宋体"/>
          <w:color w:val="auto"/>
          <w:sz w:val="28"/>
          <w:szCs w:val="28"/>
          <w:highlight w:val="none"/>
          <w:shd w:val="clear" w:color="auto" w:fill="FFFFFF"/>
        </w:rPr>
        <w:t>电量的</w:t>
      </w:r>
      <w:r>
        <w:rPr>
          <w:rFonts w:hint="eastAsia"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val="en-US" w:eastAsia="zh-CN"/>
        </w:rPr>
        <w:t>用于</w:t>
      </w:r>
      <w:r>
        <w:rPr>
          <w:rFonts w:hint="eastAsia" w:ascii="宋体" w:hAnsi="宋体" w:eastAsia="宋体" w:cs="宋体"/>
          <w:color w:val="auto"/>
          <w:sz w:val="28"/>
          <w:szCs w:val="28"/>
          <w:highlight w:val="none"/>
          <w:shd w:val="clear" w:color="auto" w:fill="FFFFFF"/>
        </w:rPr>
        <w:t>市场联动价格</w:t>
      </w:r>
      <w:r>
        <w:rPr>
          <w:rFonts w:hint="eastAsia" w:ascii="宋体" w:hAnsi="宋体" w:eastAsia="宋体" w:cs="宋体"/>
          <w:color w:val="auto"/>
          <w:sz w:val="28"/>
          <w:szCs w:val="28"/>
          <w:highlight w:val="none"/>
          <w:shd w:val="clear" w:color="auto" w:fill="FFFFFF"/>
          <w:lang w:val="en-US" w:eastAsia="zh-CN"/>
        </w:rPr>
        <w:t>电费计算</w:t>
      </w:r>
      <w:r>
        <w:rPr>
          <w:rFonts w:hint="eastAsia" w:ascii="宋体" w:hAnsi="宋体" w:eastAsia="宋体" w:cs="宋体"/>
          <w:color w:val="auto"/>
          <w:sz w:val="28"/>
          <w:szCs w:val="28"/>
          <w:highlight w:val="none"/>
          <w:shd w:val="clear" w:color="auto" w:fill="FFFFFF"/>
        </w:rPr>
        <w:t>。电能量固定价格和市场联动价格</w:t>
      </w:r>
      <w:r>
        <w:rPr>
          <w:rFonts w:hint="eastAsia" w:ascii="宋体" w:hAnsi="宋体" w:eastAsia="宋体" w:cs="宋体"/>
          <w:color w:val="auto"/>
          <w:sz w:val="28"/>
          <w:szCs w:val="28"/>
          <w:highlight w:val="none"/>
          <w:shd w:val="clear" w:color="auto" w:fill="FFFFFF"/>
          <w:lang w:val="en-US" w:eastAsia="zh-CN"/>
        </w:rPr>
        <w:t>实际用</w:t>
      </w:r>
      <w:r>
        <w:rPr>
          <w:rFonts w:hint="eastAsia" w:ascii="宋体" w:hAnsi="宋体" w:eastAsia="宋体" w:cs="宋体"/>
          <w:color w:val="auto"/>
          <w:sz w:val="28"/>
          <w:szCs w:val="28"/>
          <w:highlight w:val="none"/>
          <w:shd w:val="clear" w:color="auto" w:fill="FFFFFF"/>
        </w:rPr>
        <w:t>电量占比之和等于100%。</w:t>
      </w:r>
    </w:p>
    <w:p w14:paraId="45925ED6">
      <w:pPr>
        <w:snapToGrid w:val="0"/>
        <w:spacing w:line="600" w:lineRule="exact"/>
        <w:ind w:firstLine="560" w:firstLineChars="200"/>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零售交易电费=固定价格电费+市场联动电费</w:t>
      </w:r>
    </w:p>
    <w:p w14:paraId="7431C919">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val="en-US" w:eastAsia="zh-CN"/>
        </w:rPr>
        <w:t>其中：</w:t>
      </w:r>
      <w:r>
        <w:rPr>
          <w:rFonts w:hint="eastAsia" w:ascii="宋体" w:hAnsi="宋体" w:eastAsia="宋体" w:cs="宋体"/>
          <w:color w:val="auto"/>
          <w:sz w:val="28"/>
          <w:szCs w:val="28"/>
          <w:highlight w:val="none"/>
          <w:shd w:val="clear" w:color="auto" w:fill="FFFFFF"/>
        </w:rPr>
        <w:t>固定价格电费=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×合同约定的电量比例×合同约定的固定价格。</w:t>
      </w:r>
    </w:p>
    <w:p w14:paraId="7AF82E5B">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市场联动电费=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×合同约定的电量比例×合同约定的市场联动价格</w:t>
      </w:r>
    </w:p>
    <w:p w14:paraId="6CE0D5C1">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市场联动价格可选项为（</w:t>
      </w:r>
      <w:r>
        <w:rPr>
          <w:rFonts w:hint="eastAsia" w:ascii="宋体" w:hAnsi="宋体" w:eastAsia="宋体" w:cs="宋体"/>
          <w:color w:val="auto"/>
          <w:sz w:val="28"/>
          <w:szCs w:val="28"/>
          <w:highlight w:val="none"/>
          <w:shd w:val="clear" w:color="auto" w:fill="FFFFFF"/>
          <w:lang w:val="en-US" w:eastAsia="zh-CN"/>
        </w:rPr>
        <w:t>必选项，两种模式分别</w:t>
      </w:r>
      <w:r>
        <w:rPr>
          <w:rFonts w:hint="eastAsia" w:ascii="宋体" w:hAnsi="宋体" w:eastAsia="宋体" w:cs="宋体"/>
          <w:color w:val="auto"/>
          <w:sz w:val="28"/>
          <w:szCs w:val="28"/>
          <w:highlight w:val="none"/>
          <w:shd w:val="clear" w:color="auto" w:fill="FFFFFF"/>
        </w:rPr>
        <w:t>选择</w:t>
      </w:r>
      <w:r>
        <w:rPr>
          <w:rFonts w:hint="eastAsia" w:ascii="宋体" w:hAnsi="宋体" w:eastAsia="宋体" w:cs="宋体"/>
          <w:color w:val="auto"/>
          <w:sz w:val="28"/>
          <w:szCs w:val="28"/>
          <w:highlight w:val="none"/>
          <w:shd w:val="clear" w:color="auto" w:fill="FFFFFF"/>
          <w:lang w:val="en-US" w:eastAsia="zh-CN"/>
        </w:rPr>
        <w:t>唯一</w:t>
      </w:r>
      <w:r>
        <w:rPr>
          <w:rFonts w:hint="eastAsia" w:ascii="宋体" w:hAnsi="宋体" w:eastAsia="宋体" w:cs="宋体"/>
          <w:color w:val="auto"/>
          <w:sz w:val="28"/>
          <w:szCs w:val="28"/>
          <w:highlight w:val="none"/>
          <w:shd w:val="clear" w:color="auto" w:fill="FFFFFF"/>
        </w:rPr>
        <w:t>一个对应的联动电价）：</w:t>
      </w:r>
    </w:p>
    <w:p w14:paraId="2EEBE8AD">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非现货联动电价模式</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包含短周期现货结算试运行</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w:t>
      </w:r>
    </w:p>
    <w:p w14:paraId="122E7C68">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 xml:space="preserve">①直接交易月度集中交易加权平均价； </w:t>
      </w:r>
    </w:p>
    <w:p w14:paraId="342891A0">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②直接交易月度加权平均价。</w:t>
      </w:r>
    </w:p>
    <w:p w14:paraId="57030FD5">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2</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现货联动电价模式</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即全月开展现货结算</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w:t>
      </w:r>
    </w:p>
    <w:p w14:paraId="380788F7">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①</w:t>
      </w:r>
      <w:r>
        <w:rPr>
          <w:rFonts w:hint="eastAsia" w:ascii="宋体" w:hAnsi="宋体" w:eastAsia="宋体" w:cs="宋体"/>
          <w:color w:val="auto"/>
          <w:sz w:val="28"/>
          <w:szCs w:val="28"/>
          <w:highlight w:val="none"/>
          <w:shd w:val="clear" w:color="auto" w:fill="FFFFFF"/>
          <w:lang w:eastAsia="zh-CN"/>
        </w:rPr>
        <w:t>日前市场月度加权平均综合电价；</w:t>
      </w:r>
    </w:p>
    <w:p w14:paraId="79865F0A">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②直接交易月度集中交易加权平均价</w:t>
      </w:r>
      <w:r>
        <w:rPr>
          <w:rFonts w:hint="eastAsia" w:ascii="宋体" w:hAnsi="宋体" w:eastAsia="宋体" w:cs="宋体"/>
          <w:color w:val="auto"/>
          <w:sz w:val="28"/>
          <w:szCs w:val="28"/>
          <w:highlight w:val="none"/>
          <w:shd w:val="clear" w:color="auto" w:fill="FFFFFF"/>
          <w:lang w:eastAsia="zh-CN"/>
        </w:rPr>
        <w:t>；</w:t>
      </w:r>
    </w:p>
    <w:p w14:paraId="596A557E">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③直接交易月度加权平均价。</w:t>
      </w:r>
    </w:p>
    <w:p w14:paraId="3B1A795A">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注：任一模式中选定“</w:t>
      </w:r>
      <w:r>
        <w:rPr>
          <w:rFonts w:hint="eastAsia" w:ascii="宋体" w:hAnsi="宋体" w:eastAsia="宋体" w:cs="宋体"/>
          <w:color w:val="auto"/>
          <w:sz w:val="28"/>
          <w:szCs w:val="28"/>
          <w:highlight w:val="none"/>
          <w:shd w:val="clear" w:color="auto" w:fill="FFFFFF"/>
        </w:rPr>
        <w:t>直接交易月度集中交易加权平均价</w:t>
      </w:r>
      <w:r>
        <w:rPr>
          <w:rFonts w:hint="eastAsia" w:ascii="宋体" w:hAnsi="宋体" w:eastAsia="宋体" w:cs="宋体"/>
          <w:color w:val="auto"/>
          <w:sz w:val="28"/>
          <w:szCs w:val="28"/>
          <w:highlight w:val="none"/>
          <w:shd w:val="clear" w:color="auto" w:fill="FFFFFF"/>
          <w:lang w:val="en-US" w:eastAsia="zh-CN"/>
        </w:rPr>
        <w:t>”作为市场联动价格的，若当月无该成交价格，则系统自动选择“</w:t>
      </w:r>
      <w:r>
        <w:rPr>
          <w:rFonts w:hint="default" w:ascii="宋体" w:hAnsi="宋体" w:eastAsia="宋体" w:cs="宋体"/>
          <w:color w:val="auto"/>
          <w:sz w:val="28"/>
          <w:szCs w:val="28"/>
          <w:highlight w:val="none"/>
          <w:shd w:val="clear" w:color="auto" w:fill="FFFFFF"/>
          <w:lang w:val="en-US" w:eastAsia="zh-CN"/>
        </w:rPr>
        <w:t>直接交易月度加权平均价</w:t>
      </w:r>
      <w:r>
        <w:rPr>
          <w:rFonts w:hint="eastAsia" w:ascii="宋体" w:hAnsi="宋体" w:eastAsia="宋体" w:cs="宋体"/>
          <w:color w:val="auto"/>
          <w:sz w:val="28"/>
          <w:szCs w:val="28"/>
          <w:highlight w:val="none"/>
          <w:shd w:val="clear" w:color="auto" w:fill="FFFFFF"/>
          <w:lang w:val="en-US" w:eastAsia="zh-CN"/>
        </w:rPr>
        <w:t>”为当月市场联动价格。</w:t>
      </w:r>
    </w:p>
    <w:p w14:paraId="5446AE2B">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4.5.3比例分成套餐</w:t>
      </w:r>
    </w:p>
    <w:p w14:paraId="587A8B36">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ascii="宋体" w:hAnsi="宋体" w:eastAsia="宋体" w:cs="宋体"/>
          <w:color w:val="auto"/>
          <w:sz w:val="28"/>
          <w:szCs w:val="28"/>
          <w:highlight w:val="none"/>
          <w:shd w:val="clear" w:color="auto" w:fill="FFFFFF"/>
        </w:rPr>
      </w:pPr>
      <w:r>
        <w:rPr>
          <w:rFonts w:ascii="宋体" w:hAnsi="宋体" w:eastAsia="宋体" w:cs="宋体"/>
          <w:color w:val="auto"/>
          <w:sz w:val="28"/>
          <w:szCs w:val="28"/>
          <w:highlight w:val="none"/>
          <w:shd w:val="clear" w:color="auto" w:fill="FFFFFF"/>
        </w:rPr>
        <w:t>甲方</w:t>
      </w:r>
      <w:r>
        <w:rPr>
          <w:rFonts w:hint="eastAsia"/>
          <w:b w:val="0"/>
          <w:bCs w:val="0"/>
          <w:color w:val="auto"/>
          <w:sz w:val="28"/>
          <w:szCs w:val="28"/>
          <w:highlight w:val="none"/>
          <w:shd w:val="clear" w:color="auto" w:fill="FFFFFF"/>
        </w:rPr>
        <w:t>实际总用电量</w:t>
      </w:r>
      <w:r>
        <w:rPr>
          <w:rFonts w:ascii="宋体" w:hAnsi="宋体" w:eastAsia="宋体" w:cs="宋体"/>
          <w:color w:val="auto"/>
          <w:sz w:val="28"/>
          <w:szCs w:val="28"/>
          <w:highlight w:val="none"/>
          <w:shd w:val="clear" w:color="auto" w:fill="FFFFFF"/>
        </w:rPr>
        <w:t>，以月度为结算周期，全电量采用比例分成方式结算。</w:t>
      </w:r>
    </w:p>
    <w:p w14:paraId="73B56E12">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宋体" w:hAnsi="宋体" w:eastAsia="宋体" w:cs="宋体"/>
          <w:color w:val="auto"/>
          <w:sz w:val="28"/>
          <w:szCs w:val="28"/>
          <w:highlight w:val="none"/>
          <w:shd w:val="clear" w:color="auto" w:fill="FFFFFF"/>
        </w:rPr>
        <w:t>甲乙双方约定，交易基准价为</w:t>
      </w:r>
      <w:r>
        <w:rPr>
          <w:rFonts w:ascii="宋体" w:hAnsi="宋体" w:eastAsia="宋体" w:cs="宋体"/>
          <w:color w:val="auto"/>
          <w:sz w:val="28"/>
          <w:szCs w:val="28"/>
          <w:highlight w:val="none"/>
          <w:u w:val="single"/>
          <w:shd w:val="clear" w:color="auto" w:fill="FFFFFF"/>
        </w:rPr>
        <w:t xml:space="preserve">    </w:t>
      </w:r>
      <w:r>
        <w:rPr>
          <w:rFonts w:ascii="宋体" w:hAnsi="宋体" w:eastAsia="宋体" w:cs="宋体"/>
          <w:color w:val="auto"/>
          <w:sz w:val="28"/>
          <w:szCs w:val="28"/>
          <w:highlight w:val="none"/>
          <w:shd w:val="clear" w:color="auto" w:fill="FFFFFF"/>
        </w:rPr>
        <w:t>元/千瓦时，</w:t>
      </w:r>
      <w:r>
        <w:rPr>
          <w:rFonts w:hint="eastAsia"/>
          <w:b w:val="0"/>
          <w:bCs w:val="0"/>
          <w:color w:val="auto"/>
          <w:sz w:val="28"/>
          <w:szCs w:val="28"/>
          <w:highlight w:val="none"/>
          <w:shd w:val="clear" w:color="auto" w:fill="FFFFFF"/>
        </w:rPr>
        <w:t>实际总用电量</w:t>
      </w:r>
      <w:r>
        <w:rPr>
          <w:rFonts w:ascii="宋体" w:hAnsi="宋体" w:eastAsia="宋体" w:cs="宋体"/>
          <w:color w:val="auto"/>
          <w:sz w:val="28"/>
          <w:szCs w:val="28"/>
          <w:highlight w:val="none"/>
          <w:shd w:val="clear" w:color="auto" w:fill="FFFFFF"/>
        </w:rPr>
        <w:t>参照市场联动价格进行比例分成，各时段交易基准价与市场联动价格差值的部分，</w:t>
      </w:r>
      <w:r>
        <w:rPr>
          <w:rFonts w:ascii="宋体" w:hAnsi="宋体" w:eastAsia="宋体" w:cs="宋体"/>
          <w:color w:val="auto"/>
          <w:sz w:val="28"/>
          <w:szCs w:val="28"/>
          <w:highlight w:val="none"/>
          <w:u w:val="single"/>
          <w:shd w:val="clear" w:color="auto" w:fill="FFFFFF"/>
        </w:rPr>
        <w:t xml:space="preserve">   </w:t>
      </w:r>
      <w:r>
        <w:rPr>
          <w:rFonts w:ascii="宋体" w:hAnsi="宋体" w:eastAsia="宋体" w:cs="宋体"/>
          <w:color w:val="auto"/>
          <w:sz w:val="28"/>
          <w:szCs w:val="28"/>
          <w:highlight w:val="none"/>
          <w:shd w:val="clear" w:color="auto" w:fill="FFFFFF"/>
        </w:rPr>
        <w:t xml:space="preserve"> %比例归甲方</w:t>
      </w:r>
      <w:r>
        <w:rPr>
          <w:rFonts w:hint="eastAsia" w:ascii="宋体" w:hAnsi="宋体" w:eastAsia="宋体" w:cs="宋体"/>
          <w:color w:val="auto"/>
          <w:sz w:val="28"/>
          <w:szCs w:val="28"/>
          <w:highlight w:val="none"/>
          <w:shd w:val="clear" w:color="auto" w:fill="FFFFFF"/>
        </w:rPr>
        <w:t>分享（分摊）</w:t>
      </w:r>
      <w:r>
        <w:rPr>
          <w:rFonts w:ascii="宋体" w:hAnsi="宋体" w:eastAsia="宋体" w:cs="宋体"/>
          <w:color w:val="auto"/>
          <w:sz w:val="28"/>
          <w:szCs w:val="28"/>
          <w:highlight w:val="none"/>
          <w:shd w:val="clear" w:color="auto" w:fill="FFFFFF"/>
        </w:rPr>
        <w:t>，剩余比例归乙方</w:t>
      </w:r>
      <w:r>
        <w:rPr>
          <w:rFonts w:hint="eastAsia" w:ascii="宋体" w:hAnsi="宋体" w:eastAsia="宋体" w:cs="宋体"/>
          <w:color w:val="auto"/>
          <w:sz w:val="28"/>
          <w:szCs w:val="28"/>
          <w:highlight w:val="none"/>
          <w:shd w:val="clear" w:color="auto" w:fill="FFFFFF"/>
        </w:rPr>
        <w:t>分享（分摊）</w:t>
      </w:r>
      <w:r>
        <w:rPr>
          <w:rFonts w:hint="eastAsia" w:ascii="宋体" w:hAnsi="宋体" w:eastAsia="宋体" w:cs="宋体"/>
          <w:color w:val="auto"/>
          <w:sz w:val="28"/>
          <w:szCs w:val="28"/>
          <w:highlight w:val="none"/>
          <w:shd w:val="clear" w:color="auto" w:fill="FFFFFF"/>
          <w:lang w:eastAsia="zh-CN"/>
        </w:rPr>
        <w:t>。</w:t>
      </w:r>
    </w:p>
    <w:p w14:paraId="024EDEA0">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val="en-US" w:eastAsia="zh-CN"/>
        </w:rPr>
        <w:t>零售交易</w:t>
      </w:r>
      <w:r>
        <w:rPr>
          <w:rFonts w:hint="eastAsia" w:ascii="宋体" w:hAnsi="宋体" w:eastAsia="宋体" w:cs="宋体"/>
          <w:color w:val="auto"/>
          <w:sz w:val="28"/>
          <w:szCs w:val="28"/>
          <w:highlight w:val="none"/>
          <w:shd w:val="clear" w:color="auto" w:fill="FFFFFF"/>
        </w:rPr>
        <w:t>电费=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val="en-US" w:eastAsia="zh-CN"/>
        </w:rPr>
        <w:t>零售交易</w:t>
      </w:r>
      <w:r>
        <w:rPr>
          <w:rFonts w:hint="eastAsia" w:ascii="宋体" w:hAnsi="宋体" w:eastAsia="宋体" w:cs="宋体"/>
          <w:color w:val="auto"/>
          <w:sz w:val="28"/>
          <w:szCs w:val="28"/>
          <w:highlight w:val="none"/>
          <w:shd w:val="clear" w:color="auto" w:fill="FFFFFF"/>
        </w:rPr>
        <w:t>电价。</w:t>
      </w:r>
    </w:p>
    <w:p w14:paraId="5F608B34">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其中：零售交易</w:t>
      </w:r>
      <w:r>
        <w:rPr>
          <w:rFonts w:hint="eastAsia" w:ascii="宋体" w:hAnsi="宋体" w:eastAsia="宋体" w:cs="宋体"/>
          <w:color w:val="auto"/>
          <w:sz w:val="28"/>
          <w:szCs w:val="28"/>
          <w:highlight w:val="none"/>
          <w:shd w:val="clear" w:color="auto" w:fill="FFFFFF"/>
        </w:rPr>
        <w:t>电价=交易基准价+(市场联动价格-交易基准价)×甲方分成比例</w:t>
      </w:r>
      <w:r>
        <w:rPr>
          <w:rFonts w:hint="eastAsia" w:ascii="宋体" w:hAnsi="宋体" w:eastAsia="宋体" w:cs="宋体"/>
          <w:color w:val="auto"/>
          <w:sz w:val="28"/>
          <w:szCs w:val="28"/>
          <w:highlight w:val="none"/>
          <w:shd w:val="clear" w:color="auto" w:fill="FFFFFF"/>
          <w:lang w:eastAsia="zh-CN"/>
        </w:rPr>
        <w:t>。</w:t>
      </w:r>
    </w:p>
    <w:p w14:paraId="4B945769">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市场联动价格可选项为（</w:t>
      </w:r>
      <w:r>
        <w:rPr>
          <w:rFonts w:hint="eastAsia" w:ascii="宋体" w:hAnsi="宋体" w:eastAsia="宋体" w:cs="宋体"/>
          <w:color w:val="auto"/>
          <w:sz w:val="28"/>
          <w:szCs w:val="28"/>
          <w:highlight w:val="none"/>
          <w:shd w:val="clear" w:color="auto" w:fill="FFFFFF"/>
          <w:lang w:val="en-US" w:eastAsia="zh-CN"/>
        </w:rPr>
        <w:t>必选项，两种模式分别</w:t>
      </w:r>
      <w:r>
        <w:rPr>
          <w:rFonts w:hint="eastAsia" w:ascii="宋体" w:hAnsi="宋体" w:eastAsia="宋体" w:cs="宋体"/>
          <w:color w:val="auto"/>
          <w:sz w:val="28"/>
          <w:szCs w:val="28"/>
          <w:highlight w:val="none"/>
          <w:shd w:val="clear" w:color="auto" w:fill="FFFFFF"/>
        </w:rPr>
        <w:t>选择</w:t>
      </w:r>
      <w:r>
        <w:rPr>
          <w:rFonts w:hint="eastAsia" w:ascii="宋体" w:hAnsi="宋体" w:eastAsia="宋体" w:cs="宋体"/>
          <w:color w:val="auto"/>
          <w:sz w:val="28"/>
          <w:szCs w:val="28"/>
          <w:highlight w:val="none"/>
          <w:shd w:val="clear" w:color="auto" w:fill="FFFFFF"/>
          <w:lang w:val="en-US" w:eastAsia="zh-CN"/>
        </w:rPr>
        <w:t>唯一</w:t>
      </w:r>
      <w:r>
        <w:rPr>
          <w:rFonts w:hint="eastAsia" w:ascii="宋体" w:hAnsi="宋体" w:eastAsia="宋体" w:cs="宋体"/>
          <w:color w:val="auto"/>
          <w:sz w:val="28"/>
          <w:szCs w:val="28"/>
          <w:highlight w:val="none"/>
          <w:shd w:val="clear" w:color="auto" w:fill="FFFFFF"/>
        </w:rPr>
        <w:t>一个对应的联动电价）：</w:t>
      </w:r>
    </w:p>
    <w:p w14:paraId="07688745">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非现货联动电价模式</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包含短周期现货结算试运行</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w:t>
      </w:r>
    </w:p>
    <w:p w14:paraId="741D9C33">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 xml:space="preserve">①直接交易月度集中交易加权平均价； </w:t>
      </w:r>
    </w:p>
    <w:p w14:paraId="0E82D80A">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②直接交易月度加权平均价。</w:t>
      </w:r>
    </w:p>
    <w:p w14:paraId="11370578">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2</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现货联动电价模式</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lang w:val="en-US" w:eastAsia="zh-CN"/>
        </w:rPr>
        <w:t>即全月开展现货结算</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w:t>
      </w:r>
    </w:p>
    <w:p w14:paraId="2E136EC6">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①</w:t>
      </w:r>
      <w:r>
        <w:rPr>
          <w:rFonts w:hint="eastAsia" w:ascii="宋体" w:hAnsi="宋体" w:eastAsia="宋体" w:cs="宋体"/>
          <w:color w:val="auto"/>
          <w:sz w:val="28"/>
          <w:szCs w:val="28"/>
          <w:highlight w:val="none"/>
          <w:shd w:val="clear" w:color="auto" w:fill="FFFFFF"/>
          <w:lang w:eastAsia="zh-CN"/>
        </w:rPr>
        <w:t>日前市场月度加权平均综合电价；</w:t>
      </w:r>
    </w:p>
    <w:p w14:paraId="1BB1E85E">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②直接交易月度集中交易加权平均价</w:t>
      </w:r>
      <w:r>
        <w:rPr>
          <w:rFonts w:hint="eastAsia" w:ascii="宋体" w:hAnsi="宋体" w:eastAsia="宋体" w:cs="宋体"/>
          <w:color w:val="auto"/>
          <w:sz w:val="28"/>
          <w:szCs w:val="28"/>
          <w:highlight w:val="none"/>
          <w:shd w:val="clear" w:color="auto" w:fill="FFFFFF"/>
          <w:lang w:eastAsia="zh-CN"/>
        </w:rPr>
        <w:t>；</w:t>
      </w:r>
    </w:p>
    <w:p w14:paraId="4C7B87EF">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ascii="Wingdings" w:hAnsi="Wingdings" w:eastAsia="宋体" w:cs="宋体"/>
          <w:color w:val="auto"/>
          <w:sz w:val="28"/>
          <w:szCs w:val="28"/>
          <w:highlight w:val="none"/>
          <w:shd w:val="clear" w:color="auto" w:fill="FFFFFF"/>
        </w:rPr>
        <w:sym w:font="Wingdings" w:char="F0A8"/>
      </w:r>
      <w:r>
        <w:rPr>
          <w:rFonts w:hint="eastAsia" w:ascii="宋体" w:hAnsi="宋体" w:eastAsia="宋体" w:cs="宋体"/>
          <w:color w:val="auto"/>
          <w:sz w:val="28"/>
          <w:szCs w:val="28"/>
          <w:highlight w:val="none"/>
          <w:shd w:val="clear" w:color="auto" w:fill="FFFFFF"/>
        </w:rPr>
        <w:t>③直接交易月度加权平均价。</w:t>
      </w:r>
    </w:p>
    <w:p w14:paraId="69BD47A7">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注：任一模式中选定“</w:t>
      </w:r>
      <w:r>
        <w:rPr>
          <w:rFonts w:hint="eastAsia" w:ascii="宋体" w:hAnsi="宋体" w:eastAsia="宋体" w:cs="宋体"/>
          <w:color w:val="auto"/>
          <w:sz w:val="28"/>
          <w:szCs w:val="28"/>
          <w:highlight w:val="none"/>
          <w:shd w:val="clear" w:color="auto" w:fill="FFFFFF"/>
        </w:rPr>
        <w:t>直接交易月度集中交易加权平均价</w:t>
      </w:r>
      <w:r>
        <w:rPr>
          <w:rFonts w:hint="eastAsia" w:ascii="宋体" w:hAnsi="宋体" w:eastAsia="宋体" w:cs="宋体"/>
          <w:color w:val="auto"/>
          <w:sz w:val="28"/>
          <w:szCs w:val="28"/>
          <w:highlight w:val="none"/>
          <w:shd w:val="clear" w:color="auto" w:fill="FFFFFF"/>
          <w:lang w:val="en-US" w:eastAsia="zh-CN"/>
        </w:rPr>
        <w:t>”作为市场联动价格的，若当月无该成交价格，则系统自动选择“</w:t>
      </w:r>
      <w:r>
        <w:rPr>
          <w:rFonts w:hint="default" w:ascii="宋体" w:hAnsi="宋体" w:eastAsia="宋体" w:cs="宋体"/>
          <w:color w:val="auto"/>
          <w:sz w:val="28"/>
          <w:szCs w:val="28"/>
          <w:highlight w:val="none"/>
          <w:shd w:val="clear" w:color="auto" w:fill="FFFFFF"/>
          <w:lang w:val="en-US" w:eastAsia="zh-CN"/>
        </w:rPr>
        <w:t>直接交易月度加权平均价</w:t>
      </w:r>
      <w:r>
        <w:rPr>
          <w:rFonts w:hint="eastAsia" w:ascii="宋体" w:hAnsi="宋体" w:eastAsia="宋体" w:cs="宋体"/>
          <w:color w:val="auto"/>
          <w:sz w:val="28"/>
          <w:szCs w:val="28"/>
          <w:highlight w:val="none"/>
          <w:shd w:val="clear" w:color="auto" w:fill="FFFFFF"/>
          <w:lang w:val="en-US" w:eastAsia="zh-CN"/>
        </w:rPr>
        <w:t>”为当月市场联动价格。</w:t>
      </w:r>
    </w:p>
    <w:p w14:paraId="5A73256A">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4.5.4固定价格+服务费套餐</w:t>
      </w:r>
    </w:p>
    <w:p w14:paraId="5C6C5AEE">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指在</w:t>
      </w:r>
      <w:r>
        <w:rPr>
          <w:rFonts w:hint="eastAsia" w:ascii="宋体" w:hAnsi="宋体" w:eastAsia="宋体" w:cs="宋体"/>
          <w:color w:val="auto"/>
          <w:sz w:val="28"/>
          <w:szCs w:val="28"/>
          <w:highlight w:val="none"/>
          <w:shd w:val="clear" w:color="auto" w:fill="FFFFFF"/>
          <w:lang w:val="en-US" w:eastAsia="zh-CN"/>
        </w:rPr>
        <w:t>甲方</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对应的价格计算的</w:t>
      </w:r>
      <w:r>
        <w:rPr>
          <w:rFonts w:hint="eastAsia" w:ascii="宋体" w:hAnsi="宋体" w:eastAsia="宋体" w:cs="宋体"/>
          <w:color w:val="auto"/>
          <w:sz w:val="28"/>
          <w:szCs w:val="28"/>
          <w:highlight w:val="none"/>
          <w:lang w:val="en-US" w:eastAsia="zh-CN"/>
        </w:rPr>
        <w:t>零售交易</w:t>
      </w:r>
      <w:r>
        <w:rPr>
          <w:rFonts w:hint="eastAsia" w:ascii="宋体" w:hAnsi="宋体" w:eastAsia="宋体" w:cs="宋体"/>
          <w:color w:val="auto"/>
          <w:sz w:val="28"/>
          <w:szCs w:val="28"/>
          <w:highlight w:val="none"/>
        </w:rPr>
        <w:t>电费结算基础上，额外加收代理交易服务费用的模式</w:t>
      </w:r>
      <w:r>
        <w:rPr>
          <w:rFonts w:hint="eastAsia" w:ascii="宋体" w:hAnsi="宋体" w:eastAsia="宋体" w:cs="宋体"/>
          <w:color w:val="auto"/>
          <w:sz w:val="28"/>
          <w:szCs w:val="28"/>
          <w:highlight w:val="none"/>
          <w:lang w:eastAsia="zh-CN"/>
        </w:rPr>
        <w:t>。</w:t>
      </w:r>
    </w:p>
    <w:p w14:paraId="20C41C94">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rPr>
        <w:t>（1）</w:t>
      </w:r>
      <w:bookmarkStart w:id="48" w:name="_Toc18576"/>
      <w:r>
        <w:rPr>
          <w:rFonts w:hint="eastAsia" w:ascii="宋体" w:hAnsi="宋体" w:eastAsia="宋体" w:cs="宋体"/>
          <w:color w:val="auto"/>
          <w:sz w:val="28"/>
          <w:szCs w:val="28"/>
          <w:highlight w:val="none"/>
          <w:shd w:val="clear" w:color="auto" w:fill="FFFFFF"/>
        </w:rPr>
        <w:t>甲乙双方约定固定价格为</w:t>
      </w:r>
      <w:r>
        <w:rPr>
          <w:rFonts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元/千瓦时</w:t>
      </w:r>
      <w:r>
        <w:rPr>
          <w:rFonts w:hint="eastAsia" w:ascii="宋体" w:hAnsi="宋体" w:eastAsia="宋体" w:cs="宋体"/>
          <w:color w:val="auto"/>
          <w:sz w:val="28"/>
          <w:szCs w:val="28"/>
          <w:highlight w:val="none"/>
          <w:shd w:val="clear" w:color="auto" w:fill="FFFFFF"/>
          <w:lang w:eastAsia="zh-CN"/>
        </w:rPr>
        <w:t>。</w:t>
      </w:r>
      <w:bookmarkEnd w:id="48"/>
    </w:p>
    <w:p w14:paraId="20699960">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零售交易</w:t>
      </w:r>
      <w:r>
        <w:rPr>
          <w:rFonts w:hint="eastAsia" w:ascii="宋体" w:hAnsi="宋体" w:eastAsia="宋体" w:cs="宋体"/>
          <w:color w:val="auto"/>
          <w:sz w:val="28"/>
          <w:szCs w:val="28"/>
          <w:highlight w:val="none"/>
          <w:shd w:val="clear" w:color="auto" w:fill="FFFFFF"/>
        </w:rPr>
        <w:t>电费</w:t>
      </w:r>
      <w:r>
        <w:rPr>
          <w:rFonts w:hint="eastAsia" w:ascii="宋体" w:hAnsi="宋体" w:eastAsia="宋体" w:cs="宋体"/>
          <w:color w:val="auto"/>
          <w:sz w:val="28"/>
          <w:szCs w:val="28"/>
          <w:highlight w:val="none"/>
          <w:shd w:val="clear" w:color="auto" w:fill="FFFFFF"/>
          <w:lang w:val="en-US" w:eastAsia="zh-CN"/>
        </w:rPr>
        <w:t>=</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×合同约定的固定</w:t>
      </w:r>
      <w:r>
        <w:rPr>
          <w:rFonts w:hint="eastAsia" w:ascii="宋体" w:hAnsi="宋体" w:eastAsia="宋体" w:cs="宋体"/>
          <w:color w:val="auto"/>
          <w:sz w:val="28"/>
          <w:szCs w:val="28"/>
          <w:highlight w:val="none"/>
          <w:shd w:val="clear" w:color="auto" w:fill="FFFFFF"/>
          <w:lang w:val="en-US" w:eastAsia="zh-CN"/>
        </w:rPr>
        <w:t>价格</w:t>
      </w:r>
      <w:r>
        <w:rPr>
          <w:rFonts w:hint="eastAsia" w:ascii="宋体" w:hAnsi="宋体" w:eastAsia="宋体" w:cs="宋体"/>
          <w:color w:val="auto"/>
          <w:sz w:val="28"/>
          <w:szCs w:val="28"/>
          <w:highlight w:val="none"/>
          <w:shd w:val="clear" w:color="auto" w:fill="FFFFFF"/>
          <w:lang w:eastAsia="zh-CN"/>
        </w:rPr>
        <w:t>。</w:t>
      </w:r>
    </w:p>
    <w:p w14:paraId="428F8F3A">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（2）服务费价格：双方约定按月收取度电服务费为</w:t>
      </w:r>
      <w:r>
        <w:rPr>
          <w:rFonts w:ascii="宋体" w:hAnsi="宋体" w:eastAsia="宋体" w:cs="宋体"/>
          <w:color w:val="auto"/>
          <w:sz w:val="28"/>
          <w:szCs w:val="28"/>
          <w:highlight w:val="none"/>
          <w:u w:val="single"/>
          <w:shd w:val="clear" w:color="auto" w:fill="FFFFFF"/>
        </w:rPr>
        <w:t xml:space="preserve">    </w:t>
      </w:r>
      <w:r>
        <w:rPr>
          <w:rFonts w:hint="eastAsia" w:ascii="宋体" w:hAnsi="宋体" w:eastAsia="宋体" w:cs="宋体"/>
          <w:color w:val="auto"/>
          <w:sz w:val="28"/>
          <w:szCs w:val="28"/>
          <w:highlight w:val="none"/>
          <w:shd w:val="clear" w:color="auto" w:fill="FFFFFF"/>
        </w:rPr>
        <w:t>元/千瓦时</w:t>
      </w:r>
      <w:r>
        <w:rPr>
          <w:rFonts w:hint="eastAsia" w:ascii="宋体" w:hAnsi="宋体" w:eastAsia="宋体" w:cs="宋体"/>
          <w:color w:val="auto"/>
          <w:sz w:val="28"/>
          <w:szCs w:val="28"/>
          <w:highlight w:val="none"/>
          <w:shd w:val="clear" w:color="auto" w:fill="FFFFFF"/>
          <w:lang w:eastAsia="zh-CN"/>
        </w:rPr>
        <w:t>。</w:t>
      </w:r>
    </w:p>
    <w:p w14:paraId="0AABBB21">
      <w:pPr>
        <w:keepNext w:val="0"/>
        <w:keepLines w:val="0"/>
        <w:pageBreakBefore w:val="0"/>
        <w:widowControl w:val="0"/>
        <w:kinsoku/>
        <w:wordWrap/>
        <w:overflowPunct/>
        <w:topLinePunct w:val="0"/>
        <w:autoSpaceDE/>
        <w:autoSpaceDN/>
        <w:bidi w:val="0"/>
        <w:adjustRightInd/>
        <w:snapToGrid w:val="0"/>
        <w:spacing w:line="600" w:lineRule="exact"/>
        <w:ind w:left="0" w:firstLine="560" w:firstLineChars="2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服务费</w:t>
      </w:r>
      <w:r>
        <w:rPr>
          <w:rFonts w:hint="eastAsia" w:ascii="宋体" w:hAnsi="宋体" w:eastAsia="宋体" w:cs="宋体"/>
          <w:color w:val="auto"/>
          <w:sz w:val="28"/>
          <w:szCs w:val="28"/>
          <w:highlight w:val="none"/>
          <w:shd w:val="clear" w:color="auto" w:fill="FFFFFF"/>
          <w:lang w:val="en-US" w:eastAsia="zh-CN"/>
        </w:rPr>
        <w:t>=</w:t>
      </w:r>
      <w:r>
        <w:rPr>
          <w:rFonts w:hint="eastAsia"/>
          <w:b w:val="0"/>
          <w:bCs w:val="0"/>
          <w:color w:val="auto"/>
          <w:sz w:val="28"/>
          <w:szCs w:val="28"/>
          <w:highlight w:val="none"/>
          <w:shd w:val="clear" w:color="auto" w:fill="FFFFFF"/>
        </w:rPr>
        <w:t>实际总用电量</w:t>
      </w:r>
      <w:r>
        <w:rPr>
          <w:rFonts w:hint="eastAsia" w:ascii="宋体" w:hAnsi="宋体" w:eastAsia="宋体" w:cs="宋体"/>
          <w:color w:val="auto"/>
          <w:sz w:val="28"/>
          <w:szCs w:val="28"/>
          <w:highlight w:val="none"/>
          <w:shd w:val="clear" w:color="auto" w:fill="FFFFFF"/>
        </w:rPr>
        <w:t>×服务费</w:t>
      </w:r>
      <w:r>
        <w:rPr>
          <w:rFonts w:hint="eastAsia" w:ascii="宋体" w:hAnsi="宋体" w:eastAsia="宋体" w:cs="宋体"/>
          <w:color w:val="auto"/>
          <w:sz w:val="28"/>
          <w:szCs w:val="28"/>
          <w:highlight w:val="none"/>
          <w:shd w:val="clear" w:color="auto" w:fill="FFFFFF"/>
          <w:lang w:val="en-US" w:eastAsia="zh-CN"/>
        </w:rPr>
        <w:t>价格</w:t>
      </w:r>
      <w:r>
        <w:rPr>
          <w:rFonts w:hint="eastAsia" w:ascii="宋体" w:hAnsi="宋体" w:eastAsia="宋体" w:cs="宋体"/>
          <w:color w:val="auto"/>
          <w:sz w:val="28"/>
          <w:szCs w:val="28"/>
          <w:highlight w:val="none"/>
          <w:shd w:val="clear" w:color="auto" w:fill="FFFFFF"/>
        </w:rPr>
        <w:t>。</w:t>
      </w:r>
    </w:p>
    <w:p w14:paraId="79932303">
      <w:pPr>
        <w:spacing w:line="600" w:lineRule="exact"/>
        <w:ind w:left="0" w:firstLine="641"/>
        <w:rPr>
          <w:rFonts w:hint="eastAsia" w:asciiTheme="minorEastAsia" w:hAnsiTheme="minorEastAsia"/>
          <w:color w:val="auto"/>
          <w:sz w:val="28"/>
          <w:szCs w:val="28"/>
          <w:highlight w:val="none"/>
          <w:lang w:val="en-US"/>
        </w:rPr>
      </w:pPr>
      <w:r>
        <w:rPr>
          <w:rFonts w:hint="eastAsia" w:asciiTheme="minorEastAsia" w:hAnsiTheme="minorEastAsia"/>
          <w:color w:val="auto"/>
          <w:sz w:val="28"/>
          <w:szCs w:val="28"/>
          <w:highlight w:val="none"/>
          <w:lang w:val="en-US" w:eastAsia="zh-CN"/>
        </w:rPr>
        <w:t>4.6</w:t>
      </w:r>
      <w:r>
        <w:rPr>
          <w:rFonts w:hint="eastAsia" w:asciiTheme="minorEastAsia" w:hAnsiTheme="minorEastAsia"/>
          <w:color w:val="auto"/>
          <w:sz w:val="28"/>
          <w:szCs w:val="28"/>
          <w:highlight w:val="none"/>
        </w:rPr>
        <w:t>环境溢价（绿证价格）电费</w:t>
      </w:r>
    </w:p>
    <w:p w14:paraId="7CFC2854">
      <w:pPr>
        <w:snapToGrid w:val="0"/>
        <w:spacing w:line="600" w:lineRule="exact"/>
        <w:ind w:left="0" w:firstLine="560" w:firstLineChars="200"/>
        <w:rPr>
          <w:rFonts w:hint="default" w:ascii="宋体" w:hAnsi="宋体" w:eastAsia="宋体" w:cs="宋体"/>
          <w:color w:val="auto"/>
          <w:sz w:val="28"/>
          <w:szCs w:val="28"/>
          <w:highlight w:val="none"/>
          <w:u w:val="none"/>
          <w:shd w:val="clear" w:color="auto" w:fill="FFFFFF"/>
          <w:lang w:val="en-US" w:eastAsia="zh-CN"/>
        </w:rPr>
      </w:pPr>
      <w:r>
        <w:rPr>
          <w:rFonts w:hint="default" w:ascii="宋体" w:hAnsi="宋体" w:eastAsia="宋体" w:cs="宋体"/>
          <w:color w:val="auto"/>
          <w:sz w:val="28"/>
          <w:szCs w:val="28"/>
          <w:highlight w:val="none"/>
          <w:shd w:val="clear" w:color="auto" w:fill="FFFFFF"/>
          <w:lang w:val="en-US"/>
        </w:rPr>
        <w:t>双方一致同意按</w:t>
      </w:r>
      <w:r>
        <w:rPr>
          <w:rFonts w:hint="default" w:ascii="宋体" w:hAnsi="宋体" w:eastAsia="宋体" w:cs="宋体"/>
          <w:color w:val="auto"/>
          <w:sz w:val="28"/>
          <w:szCs w:val="28"/>
          <w:highlight w:val="none"/>
          <w:u w:val="single"/>
          <w:shd w:val="clear" w:color="auto" w:fill="FFFFFF"/>
          <w:lang w:val="en-US"/>
        </w:rPr>
        <w:t xml:space="preserve">         </w:t>
      </w:r>
      <w:r>
        <w:rPr>
          <w:rFonts w:hint="eastAsia" w:ascii="宋体" w:hAnsi="宋体" w:eastAsia="宋体" w:cs="宋体"/>
          <w:color w:val="auto"/>
          <w:sz w:val="28"/>
          <w:szCs w:val="28"/>
          <w:highlight w:val="none"/>
          <w:u w:val="none"/>
          <w:shd w:val="clear" w:color="auto" w:fill="FFFFFF"/>
          <w:lang w:val="en-US" w:eastAsia="zh-CN"/>
        </w:rPr>
        <w:t>%，作为合同</w:t>
      </w:r>
      <w:r>
        <w:rPr>
          <w:rFonts w:hint="eastAsia" w:ascii="宋体" w:hAnsi="宋体" w:eastAsia="宋体" w:cs="宋体"/>
          <w:color w:val="auto"/>
          <w:sz w:val="28"/>
          <w:szCs w:val="28"/>
          <w:highlight w:val="none"/>
          <w:u w:val="none"/>
          <w:shd w:val="clear" w:color="auto" w:fill="FFFFFF"/>
        </w:rPr>
        <w:t>分月计划电量中的绿色电力交易电量比例</w:t>
      </w:r>
      <w:r>
        <w:rPr>
          <w:rFonts w:hint="eastAsia" w:ascii="宋体" w:hAnsi="宋体" w:eastAsia="宋体" w:cs="宋体"/>
          <w:color w:val="auto"/>
          <w:sz w:val="28"/>
          <w:szCs w:val="28"/>
          <w:highlight w:val="none"/>
          <w:u w:val="none"/>
          <w:shd w:val="clear" w:color="auto" w:fill="FFFFFF"/>
          <w:lang w:eastAsia="zh-CN"/>
        </w:rPr>
        <w:t>，</w:t>
      </w:r>
      <w:r>
        <w:rPr>
          <w:rFonts w:hint="eastAsia" w:ascii="宋体" w:hAnsi="宋体" w:eastAsia="宋体" w:cs="宋体"/>
          <w:color w:val="auto"/>
          <w:sz w:val="28"/>
          <w:szCs w:val="28"/>
          <w:highlight w:val="none"/>
          <w:u w:val="none"/>
          <w:shd w:val="clear" w:color="auto" w:fill="FFFFFF"/>
        </w:rPr>
        <w:t>环境溢价（绿证价格）价格区间</w:t>
      </w:r>
      <w:r>
        <w:rPr>
          <w:rFonts w:hint="eastAsia" w:ascii="宋体" w:hAnsi="宋体" w:eastAsia="宋体" w:cs="宋体"/>
          <w:color w:val="auto"/>
          <w:sz w:val="28"/>
          <w:szCs w:val="28"/>
          <w:highlight w:val="none"/>
          <w:u w:val="none"/>
          <w:shd w:val="clear" w:color="auto" w:fill="FFFFFF"/>
          <w:lang w:val="en-US" w:eastAsia="zh-CN"/>
        </w:rPr>
        <w:t>为[</w:t>
      </w:r>
      <w:r>
        <w:rPr>
          <w:rFonts w:hint="eastAsia" w:ascii="宋体" w:hAnsi="宋体" w:eastAsia="宋体" w:cs="宋体"/>
          <w:color w:val="auto"/>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u w:val="none"/>
          <w:shd w:val="clear" w:color="auto" w:fill="FFFFFF"/>
          <w:lang w:val="en-US" w:eastAsia="zh-CN"/>
        </w:rPr>
        <w:t>]元/千瓦时至[</w:t>
      </w:r>
      <w:r>
        <w:rPr>
          <w:rFonts w:hint="eastAsia" w:ascii="宋体" w:hAnsi="宋体" w:eastAsia="宋体" w:cs="宋体"/>
          <w:color w:val="auto"/>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u w:val="none"/>
          <w:shd w:val="clear" w:color="auto" w:fill="FFFFFF"/>
          <w:lang w:val="en-US" w:eastAsia="zh-CN"/>
        </w:rPr>
        <w:t>]元/千瓦时，</w:t>
      </w:r>
      <w:r>
        <w:rPr>
          <w:rFonts w:hint="eastAsia" w:ascii="宋体" w:hAnsi="宋体" w:eastAsia="宋体" w:cs="宋体"/>
          <w:color w:val="auto"/>
          <w:sz w:val="28"/>
          <w:szCs w:val="28"/>
          <w:highlight w:val="none"/>
          <w:u w:val="none"/>
          <w:shd w:val="clear" w:color="auto" w:fill="FFFFFF"/>
        </w:rPr>
        <w:t>以此作为委托</w:t>
      </w:r>
      <w:r>
        <w:rPr>
          <w:rFonts w:hint="eastAsia" w:ascii="宋体" w:hAnsi="宋体" w:eastAsia="宋体" w:cs="宋体"/>
          <w:color w:val="auto"/>
          <w:sz w:val="28"/>
          <w:szCs w:val="28"/>
          <w:highlight w:val="none"/>
          <w:u w:val="none"/>
          <w:shd w:val="clear" w:color="auto" w:fill="FFFFFF"/>
          <w:lang w:val="en-US" w:eastAsia="zh-CN"/>
        </w:rPr>
        <w:t>乙方</w:t>
      </w:r>
      <w:r>
        <w:rPr>
          <w:rFonts w:hint="eastAsia" w:ascii="宋体" w:hAnsi="宋体" w:eastAsia="宋体" w:cs="宋体"/>
          <w:color w:val="auto"/>
          <w:sz w:val="28"/>
          <w:szCs w:val="28"/>
          <w:highlight w:val="none"/>
          <w:u w:val="none"/>
          <w:shd w:val="clear" w:color="auto" w:fill="FFFFFF"/>
        </w:rPr>
        <w:t>参与</w:t>
      </w:r>
      <w:r>
        <w:rPr>
          <w:rFonts w:hint="eastAsia" w:ascii="宋体" w:hAnsi="宋体" w:eastAsia="宋体" w:cs="宋体"/>
          <w:color w:val="auto"/>
          <w:sz w:val="28"/>
          <w:szCs w:val="28"/>
          <w:highlight w:val="none"/>
          <w:u w:val="none"/>
          <w:shd w:val="clear" w:color="auto" w:fill="FFFFFF"/>
          <w:lang w:val="en-US" w:eastAsia="zh-CN"/>
        </w:rPr>
        <w:t>相关</w:t>
      </w:r>
      <w:r>
        <w:rPr>
          <w:rFonts w:hint="eastAsia" w:ascii="宋体" w:hAnsi="宋体" w:eastAsia="宋体" w:cs="宋体"/>
          <w:color w:val="auto"/>
          <w:sz w:val="28"/>
          <w:szCs w:val="28"/>
          <w:highlight w:val="none"/>
          <w:u w:val="none"/>
          <w:shd w:val="clear" w:color="auto" w:fill="FFFFFF"/>
        </w:rPr>
        <w:t>绿电交易的依据，并参与</w:t>
      </w:r>
      <w:r>
        <w:rPr>
          <w:rFonts w:hint="eastAsia" w:ascii="宋体" w:hAnsi="宋体" w:eastAsia="宋体" w:cs="宋体"/>
          <w:color w:val="auto"/>
          <w:sz w:val="28"/>
          <w:szCs w:val="28"/>
          <w:highlight w:val="none"/>
          <w:u w:val="none"/>
          <w:shd w:val="clear" w:color="auto" w:fill="FFFFFF"/>
          <w:lang w:val="en-US" w:eastAsia="zh-CN"/>
        </w:rPr>
        <w:t>乙方在</w:t>
      </w:r>
      <w:r>
        <w:rPr>
          <w:rFonts w:hint="eastAsia" w:ascii="宋体" w:hAnsi="宋体" w:eastAsia="宋体" w:cs="宋体"/>
          <w:color w:val="auto"/>
          <w:sz w:val="28"/>
          <w:szCs w:val="28"/>
          <w:highlight w:val="none"/>
          <w:u w:val="none"/>
          <w:shd w:val="clear" w:color="auto" w:fill="FFFFFF"/>
        </w:rPr>
        <w:t>批发侧</w:t>
      </w:r>
      <w:r>
        <w:rPr>
          <w:rFonts w:hint="eastAsia" w:ascii="宋体" w:hAnsi="宋体" w:eastAsia="宋体" w:cs="宋体"/>
          <w:color w:val="auto"/>
          <w:sz w:val="28"/>
          <w:szCs w:val="28"/>
          <w:highlight w:val="none"/>
          <w:u w:val="none"/>
          <w:shd w:val="clear" w:color="auto" w:fill="FFFFFF"/>
          <w:lang w:val="en-US" w:eastAsia="zh-CN"/>
        </w:rPr>
        <w:t>的</w:t>
      </w:r>
      <w:r>
        <w:rPr>
          <w:rFonts w:hint="eastAsia" w:ascii="宋体" w:hAnsi="宋体" w:eastAsia="宋体" w:cs="宋体"/>
          <w:color w:val="auto"/>
          <w:sz w:val="28"/>
          <w:szCs w:val="28"/>
          <w:highlight w:val="none"/>
          <w:u w:val="none"/>
          <w:shd w:val="clear" w:color="auto" w:fill="FFFFFF"/>
        </w:rPr>
        <w:t>环境溢价（绿证价格）电费分配</w:t>
      </w:r>
      <w:r>
        <w:rPr>
          <w:rFonts w:hint="eastAsia" w:ascii="宋体" w:hAnsi="宋体" w:eastAsia="宋体" w:cs="宋体"/>
          <w:color w:val="auto"/>
          <w:sz w:val="28"/>
          <w:szCs w:val="28"/>
          <w:highlight w:val="none"/>
          <w:u w:val="none"/>
          <w:shd w:val="clear" w:color="auto" w:fill="FFFFFF"/>
          <w:lang w:eastAsia="zh-CN"/>
        </w:rPr>
        <w:t>，</w:t>
      </w:r>
      <w:r>
        <w:rPr>
          <w:rFonts w:hint="eastAsia" w:ascii="宋体" w:hAnsi="宋体" w:eastAsia="宋体" w:cs="宋体"/>
          <w:color w:val="auto"/>
          <w:sz w:val="28"/>
          <w:szCs w:val="28"/>
          <w:highlight w:val="none"/>
          <w:u w:val="none"/>
          <w:shd w:val="clear" w:color="auto" w:fill="FFFFFF"/>
          <w:lang w:val="en-US" w:eastAsia="zh-CN"/>
        </w:rPr>
        <w:t>最终形成甲方</w:t>
      </w:r>
      <w:r>
        <w:rPr>
          <w:rFonts w:hint="eastAsia" w:ascii="宋体" w:hAnsi="宋体" w:eastAsia="宋体" w:cs="宋体"/>
          <w:color w:val="auto"/>
          <w:sz w:val="28"/>
          <w:szCs w:val="28"/>
          <w:highlight w:val="none"/>
          <w:u w:val="none"/>
          <w:shd w:val="clear" w:color="auto" w:fill="FFFFFF"/>
        </w:rPr>
        <w:t>环境溢价（绿证价格）电费</w:t>
      </w:r>
      <w:r>
        <w:rPr>
          <w:rFonts w:hint="default" w:ascii="宋体" w:hAnsi="宋体" w:eastAsia="宋体" w:cs="宋体"/>
          <w:color w:val="auto"/>
          <w:sz w:val="28"/>
          <w:szCs w:val="28"/>
          <w:highlight w:val="none"/>
          <w:u w:val="none"/>
          <w:shd w:val="clear" w:color="auto" w:fill="FFFFFF"/>
          <w:lang w:val="en-US"/>
        </w:rPr>
        <w:t>。</w:t>
      </w:r>
      <w:r>
        <w:rPr>
          <w:rFonts w:hint="eastAsia" w:ascii="宋体" w:hAnsi="宋体" w:eastAsia="宋体" w:cs="宋体"/>
          <w:color w:val="auto"/>
          <w:sz w:val="28"/>
          <w:szCs w:val="28"/>
          <w:highlight w:val="none"/>
          <w:u w:val="none"/>
          <w:shd w:val="clear" w:color="auto" w:fill="FFFFFF"/>
          <w:lang w:val="en-US" w:eastAsia="zh-CN"/>
        </w:rPr>
        <w:t>若乙方在批发侧绿电交易成交的环境溢价（绿证价格）超出本合约约定的环境溢价（绿证价格）价格区间，则甲方可不参与该笔环境溢价（绿证价格）电费的分配。</w:t>
      </w:r>
    </w:p>
    <w:p w14:paraId="5B4F6253">
      <w:pPr>
        <w:snapToGrid w:val="0"/>
        <w:spacing w:line="600" w:lineRule="exact"/>
        <w:ind w:left="0" w:firstLine="560" w:firstLineChars="200"/>
        <w:rPr>
          <w:rFonts w:hint="default" w:ascii="宋体" w:hAnsi="宋体" w:eastAsia="宋体" w:cs="宋体"/>
          <w:color w:val="auto"/>
          <w:sz w:val="28"/>
          <w:szCs w:val="28"/>
          <w:highlight w:val="none"/>
          <w:u w:val="none"/>
          <w:shd w:val="clear" w:color="auto" w:fill="FFFFFF"/>
          <w:lang w:val="en-US"/>
        </w:rPr>
      </w:pPr>
      <w:r>
        <w:rPr>
          <w:rFonts w:hint="default" w:ascii="宋体" w:hAnsi="宋体" w:eastAsia="宋体" w:cs="宋体"/>
          <w:color w:val="auto"/>
          <w:sz w:val="28"/>
          <w:szCs w:val="28"/>
          <w:highlight w:val="none"/>
          <w:u w:val="none"/>
          <w:shd w:val="clear" w:color="auto" w:fill="FFFFFF"/>
          <w:lang w:val="en-US"/>
        </w:rPr>
        <w:t>环境溢价（绿证价格）电费=分配到的售电公司批发环境溢价（绿证价格）结算电量×环境溢价（绿证价格）</w:t>
      </w:r>
    </w:p>
    <w:p w14:paraId="50C458D0">
      <w:pPr>
        <w:snapToGrid w:val="0"/>
        <w:spacing w:line="600" w:lineRule="exact"/>
        <w:ind w:left="0" w:firstLine="560" w:firstLineChars="200"/>
        <w:rPr>
          <w:rFonts w:hint="default" w:ascii="宋体" w:hAnsi="宋体" w:eastAsia="宋体" w:cs="宋体"/>
          <w:color w:val="auto"/>
          <w:sz w:val="28"/>
          <w:szCs w:val="28"/>
          <w:highlight w:val="none"/>
          <w:u w:val="none"/>
          <w:shd w:val="clear" w:color="auto" w:fill="FFFFFF"/>
          <w:lang w:val="en-US"/>
        </w:rPr>
      </w:pPr>
      <w:r>
        <w:rPr>
          <w:rFonts w:hint="eastAsia" w:ascii="宋体" w:hAnsi="宋体" w:eastAsia="宋体" w:cs="宋体"/>
          <w:color w:val="auto"/>
          <w:sz w:val="28"/>
          <w:szCs w:val="28"/>
          <w:highlight w:val="none"/>
          <w:u w:val="none"/>
          <w:shd w:val="clear" w:color="auto" w:fill="FFFFFF"/>
          <w:lang w:val="en-US" w:eastAsia="zh-CN"/>
        </w:rPr>
        <w:t>其中：</w:t>
      </w:r>
      <w:r>
        <w:rPr>
          <w:rFonts w:hint="default" w:ascii="宋体" w:hAnsi="宋体" w:eastAsia="宋体" w:cs="宋体"/>
          <w:color w:val="auto"/>
          <w:sz w:val="28"/>
          <w:szCs w:val="28"/>
          <w:highlight w:val="none"/>
          <w:u w:val="none"/>
          <w:shd w:val="clear" w:color="auto" w:fill="FFFFFF"/>
          <w:lang w:val="en-US"/>
        </w:rPr>
        <w:t>分配到的售电公司批发环境溢价（绿证价格）结算电量</w:t>
      </w:r>
      <w:r>
        <w:rPr>
          <w:rFonts w:hint="eastAsia" w:ascii="宋体" w:hAnsi="宋体" w:eastAsia="宋体" w:cs="宋体"/>
          <w:color w:val="auto"/>
          <w:sz w:val="28"/>
          <w:szCs w:val="28"/>
          <w:highlight w:val="none"/>
          <w:u w:val="none"/>
          <w:shd w:val="clear" w:color="auto" w:fill="FFFFFF"/>
          <w:lang w:val="en-US" w:eastAsia="zh-CN"/>
        </w:rPr>
        <w:t>和</w:t>
      </w:r>
      <w:r>
        <w:rPr>
          <w:rFonts w:hint="default" w:ascii="宋体" w:hAnsi="宋体" w:eastAsia="宋体" w:cs="宋体"/>
          <w:color w:val="auto"/>
          <w:sz w:val="28"/>
          <w:szCs w:val="28"/>
          <w:highlight w:val="none"/>
          <w:u w:val="none"/>
          <w:shd w:val="clear" w:color="auto" w:fill="FFFFFF"/>
          <w:lang w:val="en-US"/>
        </w:rPr>
        <w:t>环境溢价（绿证价格）</w:t>
      </w:r>
      <w:r>
        <w:rPr>
          <w:rFonts w:hint="eastAsia" w:ascii="宋体" w:hAnsi="宋体" w:eastAsia="宋体" w:cs="宋体"/>
          <w:color w:val="auto"/>
          <w:sz w:val="28"/>
          <w:szCs w:val="28"/>
          <w:highlight w:val="none"/>
          <w:u w:val="none"/>
          <w:shd w:val="clear" w:color="auto" w:fill="FFFFFF"/>
          <w:lang w:val="en-US" w:eastAsia="zh-CN"/>
        </w:rPr>
        <w:t>的具体算法按《</w:t>
      </w:r>
      <w:r>
        <w:rPr>
          <w:rFonts w:hint="eastAsia" w:ascii="宋体" w:hAnsi="宋体" w:eastAsia="宋体" w:cs="宋体"/>
          <w:color w:val="auto"/>
          <w:sz w:val="28"/>
          <w:szCs w:val="28"/>
          <w:highlight w:val="none"/>
          <w:u w:val="none"/>
          <w:shd w:val="clear" w:color="auto" w:fill="FFFFFF"/>
        </w:rPr>
        <w:t>海南电力市场零售交易实施细则</w:t>
      </w:r>
      <w:r>
        <w:rPr>
          <w:rFonts w:hint="eastAsia" w:ascii="宋体" w:hAnsi="宋体" w:eastAsia="宋体" w:cs="宋体"/>
          <w:color w:val="auto"/>
          <w:sz w:val="28"/>
          <w:szCs w:val="28"/>
          <w:highlight w:val="none"/>
          <w:u w:val="none"/>
          <w:shd w:val="clear" w:color="auto" w:fill="FFFFFF"/>
          <w:lang w:val="en-US" w:eastAsia="zh-CN"/>
        </w:rPr>
        <w:t>》执行。</w:t>
      </w:r>
    </w:p>
    <w:p w14:paraId="18EC486C">
      <w:pPr>
        <w:spacing w:line="600" w:lineRule="exact"/>
        <w:ind w:left="0" w:firstLine="641"/>
        <w:rPr>
          <w:rFonts w:hint="eastAsia" w:asciiTheme="minorEastAsia" w:hAnsiTheme="minorEastAsia"/>
          <w:color w:val="auto"/>
          <w:sz w:val="28"/>
          <w:szCs w:val="28"/>
          <w:highlight w:val="none"/>
          <w:lang w:val="en-US"/>
        </w:rPr>
      </w:pPr>
      <w:r>
        <w:rPr>
          <w:rFonts w:hint="eastAsia" w:asciiTheme="minorEastAsia" w:hAnsiTheme="minorEastAsia" w:cstheme="minorBidi"/>
          <w:color w:val="auto"/>
          <w:sz w:val="28"/>
          <w:szCs w:val="28"/>
          <w:highlight w:val="none"/>
          <w:shd w:val="clear" w:color="auto" w:fill="FFFFFF"/>
          <w:lang w:val="en-US" w:eastAsia="zh-CN"/>
        </w:rPr>
        <w:t>4.7</w:t>
      </w:r>
      <w:r>
        <w:rPr>
          <w:rFonts w:hint="eastAsia" w:asciiTheme="minorEastAsia" w:hAnsiTheme="minorEastAsia"/>
          <w:color w:val="auto"/>
          <w:sz w:val="28"/>
          <w:szCs w:val="28"/>
          <w:highlight w:val="none"/>
          <w:lang w:val="en-US"/>
        </w:rPr>
        <w:t>峰谷浮动电费结算</w:t>
      </w:r>
    </w:p>
    <w:p w14:paraId="463274B0">
      <w:pPr>
        <w:snapToGrid w:val="0"/>
        <w:spacing w:line="600" w:lineRule="exact"/>
        <w:ind w:left="0" w:firstLine="560" w:firstLineChars="200"/>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甲方名下</w:t>
      </w:r>
      <w:r>
        <w:rPr>
          <w:rFonts w:hint="eastAsia" w:ascii="宋体" w:hAnsi="宋体" w:eastAsia="宋体" w:cs="宋体"/>
          <w:color w:val="auto"/>
          <w:sz w:val="28"/>
          <w:szCs w:val="28"/>
          <w:highlight w:val="none"/>
          <w:shd w:val="clear" w:color="auto" w:fill="FFFFFF"/>
          <w:lang w:val="en-US"/>
        </w:rPr>
        <w:t>执行峰谷分时电价政策的</w:t>
      </w:r>
      <w:r>
        <w:rPr>
          <w:rFonts w:hint="eastAsia" w:ascii="宋体" w:hAnsi="宋体" w:eastAsia="宋体" w:cs="宋体"/>
          <w:color w:val="auto"/>
          <w:sz w:val="28"/>
          <w:szCs w:val="28"/>
          <w:highlight w:val="none"/>
          <w:shd w:val="clear" w:color="auto" w:fill="FFFFFF"/>
          <w:lang w:val="en-US" w:eastAsia="zh-CN"/>
        </w:rPr>
        <w:t>计量点</w:t>
      </w:r>
      <w:r>
        <w:rPr>
          <w:rFonts w:hint="eastAsia" w:ascii="宋体" w:hAnsi="宋体" w:eastAsia="宋体" w:cs="宋体"/>
          <w:color w:val="auto"/>
          <w:sz w:val="28"/>
          <w:szCs w:val="28"/>
          <w:highlight w:val="none"/>
          <w:shd w:val="clear" w:color="auto" w:fill="FFFFFF"/>
          <w:lang w:val="en-US"/>
        </w:rPr>
        <w:t>实施峰谷分时段结算，具体算法按《海南电力市场结算实施细则》执行。</w:t>
      </w:r>
    </w:p>
    <w:p w14:paraId="2DF9F824">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49" w:name="_Toc1002"/>
      <w:bookmarkStart w:id="50" w:name="_Toc9031"/>
      <w:bookmarkStart w:id="51" w:name="_Toc9467_WPSOffice_Level1"/>
      <w:bookmarkStart w:id="52" w:name="_Toc15718_WPSOffice_Level1"/>
      <w:r>
        <w:rPr>
          <w:rFonts w:hint="eastAsia" w:ascii="黑体" w:hAnsi="黑体" w:eastAsia="黑体" w:cs="黑体"/>
          <w:color w:val="auto"/>
          <w:sz w:val="30"/>
          <w:szCs w:val="30"/>
          <w:highlight w:val="none"/>
        </w:rPr>
        <w:t>第5章　电能计量</w:t>
      </w:r>
      <w:bookmarkEnd w:id="44"/>
      <w:bookmarkEnd w:id="45"/>
      <w:bookmarkEnd w:id="49"/>
      <w:bookmarkEnd w:id="50"/>
      <w:bookmarkEnd w:id="51"/>
      <w:bookmarkEnd w:id="52"/>
    </w:p>
    <w:p w14:paraId="3D1766C8">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5.1电力交易</w:t>
      </w:r>
      <w:r>
        <w:rPr>
          <w:rFonts w:hint="eastAsia" w:asciiTheme="minorEastAsia" w:hAnsiTheme="minorEastAsia"/>
          <w:color w:val="auto"/>
          <w:sz w:val="28"/>
          <w:szCs w:val="28"/>
          <w:highlight w:val="none"/>
        </w:rPr>
        <w:t>结算电量</w:t>
      </w:r>
      <w:r>
        <w:rPr>
          <w:rFonts w:asciiTheme="minorEastAsia" w:hAnsiTheme="minorEastAsia"/>
          <w:color w:val="auto"/>
          <w:sz w:val="28"/>
          <w:szCs w:val="28"/>
          <w:highlight w:val="none"/>
        </w:rPr>
        <w:t>计量点</w:t>
      </w:r>
      <w:r>
        <w:rPr>
          <w:rFonts w:hint="eastAsia" w:asciiTheme="minorEastAsia" w:hAnsiTheme="minorEastAsia"/>
          <w:color w:val="auto"/>
          <w:sz w:val="28"/>
          <w:szCs w:val="28"/>
          <w:highlight w:val="none"/>
        </w:rPr>
        <w:t>以</w:t>
      </w:r>
      <w:r>
        <w:rPr>
          <w:rFonts w:asciiTheme="minorEastAsia" w:hAnsiTheme="minorEastAsia"/>
          <w:color w:val="auto"/>
          <w:sz w:val="28"/>
          <w:szCs w:val="28"/>
          <w:highlight w:val="none"/>
        </w:rPr>
        <w:t>甲方与电网企业签订的《供用电合同》</w:t>
      </w:r>
      <w:r>
        <w:rPr>
          <w:rFonts w:hint="eastAsia" w:asciiTheme="minorEastAsia" w:hAnsiTheme="minorEastAsia"/>
          <w:color w:val="auto"/>
          <w:sz w:val="28"/>
          <w:szCs w:val="28"/>
          <w:highlight w:val="none"/>
        </w:rPr>
        <w:t>约定的电能计量装置关口表安装位置为准</w:t>
      </w:r>
      <w:r>
        <w:rPr>
          <w:rFonts w:asciiTheme="minorEastAsia" w:hAnsiTheme="minorEastAsia"/>
          <w:color w:val="auto"/>
          <w:sz w:val="28"/>
          <w:szCs w:val="28"/>
          <w:highlight w:val="none"/>
        </w:rPr>
        <w:t>。</w:t>
      </w:r>
    </w:p>
    <w:p w14:paraId="7BB83C49">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asciiTheme="minorEastAsia" w:hAnsiTheme="minorEastAsia"/>
          <w:color w:val="auto"/>
          <w:sz w:val="28"/>
          <w:szCs w:val="28"/>
          <w:highlight w:val="none"/>
        </w:rPr>
        <w:t>5.2电力交易涉及的电能计量装置、电能计量装置校验要求和计量装置异常处理办法按</w:t>
      </w:r>
      <w:r>
        <w:rPr>
          <w:rFonts w:hint="eastAsia" w:asciiTheme="minorEastAsia" w:hAnsiTheme="minorEastAsia"/>
          <w:color w:val="auto"/>
          <w:sz w:val="28"/>
          <w:szCs w:val="28"/>
          <w:highlight w:val="none"/>
        </w:rPr>
        <w:t>甲方</w:t>
      </w:r>
      <w:r>
        <w:rPr>
          <w:rFonts w:asciiTheme="minorEastAsia" w:hAnsiTheme="minorEastAsia"/>
          <w:color w:val="auto"/>
          <w:sz w:val="28"/>
          <w:szCs w:val="28"/>
          <w:highlight w:val="none"/>
        </w:rPr>
        <w:t>与</w:t>
      </w:r>
      <w:r>
        <w:rPr>
          <w:rFonts w:hint="eastAsia" w:asciiTheme="minorEastAsia" w:hAnsiTheme="minorEastAsia"/>
          <w:color w:val="auto"/>
          <w:sz w:val="28"/>
          <w:szCs w:val="28"/>
          <w:highlight w:val="none"/>
        </w:rPr>
        <w:t>电网企业</w:t>
      </w:r>
      <w:r>
        <w:rPr>
          <w:rFonts w:asciiTheme="minorEastAsia" w:hAnsiTheme="minorEastAsia"/>
          <w:color w:val="auto"/>
          <w:sz w:val="28"/>
          <w:szCs w:val="28"/>
          <w:highlight w:val="none"/>
        </w:rPr>
        <w:t>签订的《供用电合同》</w:t>
      </w:r>
      <w:r>
        <w:rPr>
          <w:rFonts w:hint="eastAsia" w:asciiTheme="minorEastAsia" w:hAnsiTheme="minorEastAsia"/>
          <w:color w:val="auto"/>
          <w:sz w:val="28"/>
          <w:szCs w:val="28"/>
          <w:highlight w:val="none"/>
        </w:rPr>
        <w:t>约定执行。</w:t>
      </w:r>
    </w:p>
    <w:p w14:paraId="1042A706">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53" w:name="_Toc732"/>
      <w:bookmarkStart w:id="54" w:name="_Toc6974"/>
      <w:bookmarkStart w:id="55" w:name="_Toc26866"/>
      <w:bookmarkStart w:id="56" w:name="_Toc26733_WPSOffice_Level1"/>
      <w:bookmarkStart w:id="57" w:name="_Toc22079_WPSOffice_Level1"/>
      <w:bookmarkStart w:id="58" w:name="_Toc31951"/>
      <w:bookmarkStart w:id="59" w:name="_Toc31803"/>
      <w:bookmarkStart w:id="60" w:name="_Toc31539"/>
      <w:r>
        <w:rPr>
          <w:rFonts w:hint="eastAsia" w:ascii="黑体" w:hAnsi="黑体" w:eastAsia="黑体" w:cs="黑体"/>
          <w:color w:val="auto"/>
          <w:sz w:val="30"/>
          <w:szCs w:val="30"/>
          <w:highlight w:val="none"/>
        </w:rPr>
        <w:t>第6章  合同生效</w:t>
      </w:r>
      <w:bookmarkEnd w:id="53"/>
      <w:bookmarkEnd w:id="54"/>
      <w:r>
        <w:rPr>
          <w:rFonts w:hint="eastAsia" w:ascii="黑体" w:hAnsi="黑体" w:eastAsia="黑体" w:cs="黑体"/>
          <w:color w:val="auto"/>
          <w:sz w:val="30"/>
          <w:szCs w:val="30"/>
          <w:highlight w:val="none"/>
        </w:rPr>
        <w:t>和期限</w:t>
      </w:r>
      <w:bookmarkEnd w:id="55"/>
      <w:bookmarkEnd w:id="56"/>
      <w:bookmarkEnd w:id="57"/>
      <w:bookmarkEnd w:id="58"/>
      <w:bookmarkEnd w:id="59"/>
      <w:bookmarkEnd w:id="60"/>
    </w:p>
    <w:p w14:paraId="3AA85005">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bookmarkStart w:id="61" w:name="_Toc15775"/>
      <w:bookmarkStart w:id="62" w:name="_Toc20282"/>
      <w:bookmarkStart w:id="63" w:name="_Toc20087"/>
      <w:bookmarkStart w:id="64" w:name="_Toc10340"/>
      <w:r>
        <w:rPr>
          <w:rFonts w:hint="eastAsia" w:asciiTheme="minorEastAsia" w:hAnsiTheme="minorEastAsia" w:cstheme="minorEastAsia"/>
          <w:color w:val="auto"/>
          <w:sz w:val="28"/>
          <w:szCs w:val="28"/>
          <w:highlight w:val="none"/>
        </w:rPr>
        <w:t>6.1 本合同的生效条件：</w:t>
      </w:r>
    </w:p>
    <w:p w14:paraId="6CBC749F">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本合同经双方法定代表人或授权委托代理人签字（签章）并加盖单位公章、合同专用章后生效。</w:t>
      </w:r>
    </w:p>
    <w:p w14:paraId="63BC292B">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6.2</w:t>
      </w:r>
      <w:r>
        <w:rPr>
          <w:rFonts w:hint="eastAsia" w:asciiTheme="minorEastAsia" w:hAnsiTheme="minorEastAsia"/>
          <w:color w:val="auto"/>
          <w:sz w:val="28"/>
          <w:szCs w:val="28"/>
          <w:highlight w:val="none"/>
        </w:rPr>
        <w:t>双方一致约定：自</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月至</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月确定零售服务期限（</w:t>
      </w:r>
      <w:r>
        <w:rPr>
          <w:rFonts w:hint="eastAsia" w:asciiTheme="minorEastAsia" w:hAnsiTheme="minorEastAsia"/>
          <w:b/>
          <w:bCs/>
          <w:color w:val="auto"/>
          <w:sz w:val="28"/>
          <w:szCs w:val="28"/>
          <w:highlight w:val="none"/>
        </w:rPr>
        <w:t>即本合同有效期</w:t>
      </w:r>
      <w:r>
        <w:rPr>
          <w:rFonts w:hint="eastAsia" w:asciiTheme="minorEastAsia" w:hAnsiTheme="minorEastAsia"/>
          <w:color w:val="auto"/>
          <w:sz w:val="28"/>
          <w:szCs w:val="28"/>
          <w:highlight w:val="none"/>
        </w:rPr>
        <w:t>），由乙方为甲方提供电力市场化交易服务。</w:t>
      </w:r>
    </w:p>
    <w:p w14:paraId="77775BE4">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65" w:name="_Toc29913_WPSOffice_Level1"/>
      <w:bookmarkStart w:id="66" w:name="_Toc13600_WPSOffice_Level1"/>
      <w:bookmarkStart w:id="67" w:name="_Toc16301"/>
      <w:bookmarkStart w:id="68" w:name="_Toc30555"/>
      <w:r>
        <w:rPr>
          <w:rFonts w:hint="eastAsia" w:ascii="黑体" w:hAnsi="黑体" w:eastAsia="黑体" w:cs="黑体"/>
          <w:color w:val="auto"/>
          <w:sz w:val="30"/>
          <w:szCs w:val="30"/>
          <w:highlight w:val="none"/>
        </w:rPr>
        <w:t>第7章  合同变更</w:t>
      </w:r>
      <w:bookmarkEnd w:id="61"/>
      <w:bookmarkEnd w:id="62"/>
      <w:bookmarkEnd w:id="63"/>
      <w:bookmarkEnd w:id="64"/>
      <w:bookmarkEnd w:id="65"/>
      <w:r>
        <w:rPr>
          <w:rFonts w:hint="eastAsia" w:ascii="黑体" w:hAnsi="黑体" w:eastAsia="黑体" w:cs="黑体"/>
          <w:color w:val="auto"/>
          <w:sz w:val="30"/>
          <w:szCs w:val="30"/>
          <w:highlight w:val="none"/>
        </w:rPr>
        <w:t>和解除</w:t>
      </w:r>
      <w:bookmarkEnd w:id="66"/>
      <w:bookmarkEnd w:id="67"/>
      <w:bookmarkEnd w:id="68"/>
    </w:p>
    <w:p w14:paraId="1D2EFFD5">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stheme="minorEastAsia"/>
          <w:color w:val="auto"/>
          <w:sz w:val="28"/>
          <w:szCs w:val="28"/>
          <w:highlight w:val="none"/>
        </w:rPr>
      </w:pPr>
      <w:bookmarkStart w:id="69" w:name="_Toc7393"/>
      <w:bookmarkStart w:id="70" w:name="_Toc4702"/>
      <w:bookmarkStart w:id="71" w:name="_Toc21316"/>
      <w:bookmarkStart w:id="72" w:name="_Toc18411"/>
      <w:r>
        <w:rPr>
          <w:rFonts w:hint="eastAsia" w:asciiTheme="minorEastAsia" w:hAnsiTheme="minorEastAsia" w:cstheme="minorEastAsia"/>
          <w:color w:val="auto"/>
          <w:sz w:val="28"/>
          <w:szCs w:val="28"/>
          <w:highlight w:val="none"/>
        </w:rPr>
        <w:t>7.1本合同的任何修改、补充、变更或解除须由双方签订补充变更/解除协议。</w:t>
      </w:r>
    </w:p>
    <w:p w14:paraId="51C92A77">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firstLine="560" w:firstLineChars="200"/>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7.2因国家法律、法规发生变化或者政府有关部门、监管机构出台有关规定、规则或经协商一致，双方变更本合同。</w:t>
      </w:r>
    </w:p>
    <w:p w14:paraId="1884F08C">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7.3一方发生下列事件，则对方有权在发出解除通知后解除本合同：</w:t>
      </w:r>
    </w:p>
    <w:p w14:paraId="0F8392DB">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（1）一方被申请破产、清算或被吊销营业执照；</w:t>
      </w:r>
    </w:p>
    <w:p w14:paraId="5E951EAB">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（2）一方被政府有关部门和社会组织依法依规对其他领域失信行为做出处理，被纳入涉电力领域失信联合惩戒对象名单或诚信状况重点关注名单的；</w:t>
      </w:r>
    </w:p>
    <w:p w14:paraId="3DF7A6A2">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（3）海南电力市场主体被政府主管部门、监管机构认定的不适于继续参与电力市场化交易的。</w:t>
      </w:r>
    </w:p>
    <w:p w14:paraId="61FD6438">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7.4满足解除合同条件的（含双方协商一致），可解除本合同。</w:t>
      </w:r>
    </w:p>
    <w:p w14:paraId="4259A12E">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t>7.5双方不得擅自终止、解除本合同。如果因一方原因导致合同解除，则该方应赔偿对方因此而遭受的损失。</w:t>
      </w:r>
    </w:p>
    <w:p w14:paraId="51819D1F">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73" w:name="_Toc2784_WPSOffice_Level1"/>
      <w:bookmarkStart w:id="74" w:name="_Toc28721"/>
      <w:bookmarkStart w:id="75" w:name="_Toc19335_WPSOffice_Level1"/>
      <w:bookmarkStart w:id="76" w:name="_Toc7997"/>
      <w:r>
        <w:rPr>
          <w:rFonts w:hint="eastAsia" w:ascii="黑体" w:hAnsi="黑体" w:eastAsia="黑体" w:cs="黑体"/>
          <w:color w:val="auto"/>
          <w:sz w:val="30"/>
          <w:szCs w:val="30"/>
          <w:highlight w:val="none"/>
        </w:rPr>
        <w:t>第8章　合同违约和赔偿</w:t>
      </w:r>
      <w:bookmarkEnd w:id="69"/>
      <w:bookmarkEnd w:id="70"/>
      <w:bookmarkEnd w:id="71"/>
      <w:bookmarkEnd w:id="72"/>
      <w:bookmarkEnd w:id="73"/>
      <w:bookmarkEnd w:id="74"/>
      <w:bookmarkEnd w:id="75"/>
      <w:bookmarkEnd w:id="76"/>
    </w:p>
    <w:p w14:paraId="5B17F802">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bookmarkStart w:id="77" w:name="_Toc13696"/>
      <w:bookmarkStart w:id="78" w:name="_Toc11572"/>
      <w:bookmarkStart w:id="79" w:name="_Toc16465"/>
      <w:bookmarkStart w:id="80" w:name="_Toc8058"/>
      <w:r>
        <w:rPr>
          <w:rFonts w:hint="eastAsia" w:asciiTheme="minorEastAsia" w:hAnsiTheme="minorEastAsia" w:cstheme="minorEastAsia"/>
          <w:color w:val="auto"/>
          <w:sz w:val="28"/>
          <w:szCs w:val="28"/>
          <w:highlight w:val="none"/>
        </w:rPr>
        <w:t xml:space="preserve">8.1任一方违反本合同约定条款视为违约，合同另一方有权要求违约方赔偿违约造成的经济损失。                                  </w:t>
      </w:r>
    </w:p>
    <w:p w14:paraId="63D61FC8">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8.2违约的处理原则</w:t>
      </w:r>
    </w:p>
    <w:p w14:paraId="245C7BA3">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8.2.1违约行为发生后，除非守约方提出书面要求解除合同，否则违约方应继续履行合同。违约方应承担支付违约金、继续履行合同和采取补救措施等责任。在支付违约金、继续履约或者采取补救措施后，仍给守约方造成其他损失的，应当赔偿损失。</w:t>
      </w:r>
    </w:p>
    <w:p w14:paraId="3CF22C7C">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8.2.2在本合同履行期限届满之前，任一方明确表示或以自己的行为表明不履行合同义务的，另一方可在履行期限届满前解除合同并要求对方承担相应的违约责任，因不可抗力导致除外。                                               </w:t>
      </w:r>
    </w:p>
    <w:p w14:paraId="37F1928B">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8.2.3一方违约后，另一方应当采取适当的措施防止损失扩大，如果因没有采取适当的措施致使损失扩大的，则其不得就扩大的损失要求违约方承担赔偿责任。</w:t>
      </w:r>
    </w:p>
    <w:p w14:paraId="5D7D5D74">
      <w:pPr>
        <w:keepNext w:val="0"/>
        <w:keepLines w:val="0"/>
        <w:pageBreakBefore w:val="0"/>
        <w:widowControl w:val="0"/>
        <w:kinsoku/>
        <w:wordWrap/>
        <w:overflowPunct/>
        <w:topLinePunct w:val="0"/>
        <w:autoSpaceDE/>
        <w:autoSpaceDN/>
        <w:bidi w:val="0"/>
        <w:adjustRightInd/>
        <w:spacing w:line="600" w:lineRule="exact"/>
        <w:ind w:left="0" w:firstLine="560" w:firstLineChars="200"/>
        <w:jc w:val="left"/>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8.3违约赔偿</w:t>
      </w:r>
    </w:p>
    <w:p w14:paraId="2AF6D4B4">
      <w:pPr>
        <w:keepNext w:val="0"/>
        <w:keepLines w:val="0"/>
        <w:pageBreakBefore w:val="0"/>
        <w:widowControl w:val="0"/>
        <w:kinsoku/>
        <w:wordWrap/>
        <w:overflowPunct/>
        <w:topLinePunct w:val="0"/>
        <w:autoSpaceDE/>
        <w:autoSpaceDN/>
        <w:bidi w:val="0"/>
        <w:adjustRightInd/>
        <w:spacing w:line="600" w:lineRule="exact"/>
        <w:ind w:left="0" w:firstLine="564"/>
        <w:textAlignment w:val="auto"/>
        <w:rPr>
          <w:rFonts w:ascii="宋体" w:hAnsi="宋体"/>
          <w:color w:val="auto"/>
          <w:sz w:val="28"/>
          <w:szCs w:val="28"/>
          <w:highlight w:val="none"/>
        </w:rPr>
      </w:pPr>
      <w:r>
        <w:rPr>
          <w:rFonts w:hint="eastAsia" w:ascii="宋体" w:hAnsi="宋体"/>
          <w:color w:val="auto"/>
          <w:sz w:val="28"/>
          <w:szCs w:val="28"/>
          <w:highlight w:val="none"/>
        </w:rPr>
        <w:t>8.3.1本合同签订后，在同一零售服务期限内甲方不得再与其他企业签订同类的合同或协议。因甲方原因导致本协议部分或全部不能履约时，甲方应向乙方支付违约金人民币</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万元；因乙方原因导致本协议部分或全部不能履约时，乙方应向甲方支付违约金人民币</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万元。</w:t>
      </w:r>
    </w:p>
    <w:p w14:paraId="501CFCED">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8.3.2本合同未明确，如发生提交虚假信息、停产、变更、退市等行为，影响企业履行合同义务的情形，违约方给守约方造成的一切直接及间接损失，由违约方承担违约赔偿责任。</w:t>
      </w:r>
    </w:p>
    <w:p w14:paraId="1E35ECA2">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8.4除本合同其他各章约定以外，双方约定：</w:t>
      </w:r>
    </w:p>
    <w:p w14:paraId="5ADC7284">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u w:val="single"/>
        </w:rPr>
      </w:pPr>
      <w:r>
        <w:rPr>
          <w:rFonts w:hint="eastAsia" w:asciiTheme="minorEastAsia" w:hAnsiTheme="minorEastAsia" w:cstheme="minorEastAsia"/>
          <w:color w:val="auto"/>
          <w:sz w:val="28"/>
          <w:szCs w:val="28"/>
          <w:highlight w:val="none"/>
        </w:rPr>
        <w:t>甲方应当承担的违约责任还包括：</w:t>
      </w:r>
      <w:r>
        <w:rPr>
          <w:rFonts w:hint="eastAsia" w:asciiTheme="minorEastAsia" w:hAnsiTheme="minorEastAsia" w:cstheme="minorEastAsia"/>
          <w:color w:val="auto"/>
          <w:sz w:val="28"/>
          <w:szCs w:val="28"/>
          <w:highlight w:val="none"/>
          <w:u w:val="single"/>
        </w:rPr>
        <w:t>　          　</w:t>
      </w:r>
      <w:r>
        <w:rPr>
          <w:rFonts w:hint="eastAsia" w:asciiTheme="minorEastAsia" w:hAnsiTheme="minorEastAsia" w:cstheme="minorEastAsia"/>
          <w:color w:val="auto"/>
          <w:sz w:val="28"/>
          <w:szCs w:val="28"/>
          <w:highlight w:val="none"/>
        </w:rPr>
        <w:t>。</w:t>
      </w:r>
    </w:p>
    <w:p w14:paraId="48B7A97D">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乙方应当承担的违约责任还包括：</w:t>
      </w:r>
      <w:r>
        <w:rPr>
          <w:rFonts w:hint="eastAsia" w:asciiTheme="minorEastAsia" w:hAnsiTheme="minorEastAsia" w:cstheme="minorEastAsia"/>
          <w:color w:val="auto"/>
          <w:sz w:val="28"/>
          <w:szCs w:val="28"/>
          <w:highlight w:val="none"/>
          <w:u w:val="single"/>
        </w:rPr>
        <w:t>　          　</w:t>
      </w:r>
      <w:r>
        <w:rPr>
          <w:rFonts w:hint="eastAsia" w:asciiTheme="minorEastAsia" w:hAnsiTheme="minorEastAsia" w:cstheme="minorEastAsia"/>
          <w:color w:val="auto"/>
          <w:sz w:val="28"/>
          <w:szCs w:val="28"/>
          <w:highlight w:val="none"/>
        </w:rPr>
        <w:t>。</w:t>
      </w:r>
    </w:p>
    <w:p w14:paraId="3FB41573">
      <w:pPr>
        <w:keepNext w:val="0"/>
        <w:keepLines w:val="0"/>
        <w:pageBreakBefore w:val="0"/>
        <w:widowControl w:val="0"/>
        <w:kinsoku/>
        <w:wordWrap/>
        <w:overflowPunct/>
        <w:topLinePunct w:val="0"/>
        <w:autoSpaceDE/>
        <w:autoSpaceDN/>
        <w:bidi w:val="0"/>
        <w:adjustRightInd/>
        <w:spacing w:line="600" w:lineRule="exact"/>
        <w:ind w:left="0" w:firstLine="641"/>
        <w:textAlignment w:val="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8.5除另有约定外，一旦发生任一方未能履行本合同项下的任何义务的情况，守约方可向违约方发出有关违约的书面通知，如果在通知发出后5个工作日内，违约方仍未纠正其违约的，应承担相应的违约责任。</w:t>
      </w:r>
    </w:p>
    <w:bookmarkEnd w:id="77"/>
    <w:bookmarkEnd w:id="78"/>
    <w:bookmarkEnd w:id="79"/>
    <w:bookmarkEnd w:id="80"/>
    <w:p w14:paraId="45EE0D84">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81" w:name="_Toc5434"/>
      <w:bookmarkStart w:id="82" w:name="_Toc17337"/>
      <w:bookmarkStart w:id="83" w:name="_Toc9860_WPSOffice_Level1"/>
      <w:bookmarkStart w:id="84" w:name="_Toc1141"/>
      <w:bookmarkStart w:id="85" w:name="_Toc22786"/>
      <w:bookmarkStart w:id="86" w:name="_Toc12100"/>
      <w:bookmarkStart w:id="87" w:name="_Toc29021_WPSOffice_Level1"/>
      <w:bookmarkStart w:id="88" w:name="_Toc26569"/>
      <w:r>
        <w:rPr>
          <w:rFonts w:hint="eastAsia" w:ascii="黑体" w:hAnsi="黑体" w:eastAsia="黑体" w:cs="黑体"/>
          <w:color w:val="auto"/>
          <w:sz w:val="30"/>
          <w:szCs w:val="30"/>
          <w:highlight w:val="none"/>
        </w:rPr>
        <w:t>第9章　免责条款</w:t>
      </w:r>
      <w:bookmarkEnd w:id="81"/>
      <w:bookmarkEnd w:id="82"/>
      <w:bookmarkEnd w:id="83"/>
      <w:bookmarkEnd w:id="84"/>
      <w:bookmarkEnd w:id="85"/>
      <w:bookmarkEnd w:id="86"/>
      <w:bookmarkEnd w:id="87"/>
      <w:bookmarkEnd w:id="88"/>
    </w:p>
    <w:p w14:paraId="3B0401AE">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bookmarkStart w:id="89" w:name="_Toc21253"/>
      <w:bookmarkStart w:id="90" w:name="_Toc667"/>
      <w:bookmarkStart w:id="91" w:name="_Toc4316"/>
      <w:bookmarkStart w:id="92" w:name="_Toc9782"/>
      <w:r>
        <w:rPr>
          <w:rFonts w:hint="eastAsia" w:asciiTheme="minorEastAsia" w:hAnsiTheme="minorEastAsia"/>
          <w:color w:val="auto"/>
          <w:sz w:val="28"/>
          <w:szCs w:val="28"/>
          <w:highlight w:val="none"/>
        </w:rPr>
        <w:t>9.1若不可抗力的发生完全或部分地妨碍合同任一方履行本合同项下的任何义务，则该方可暂停履行其义务，但前提是：</w:t>
      </w:r>
    </w:p>
    <w:p w14:paraId="3B50E228">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9.1.1暂停履行的范围和时间不超过消除不可抗力影响的合理需要；</w:t>
      </w:r>
    </w:p>
    <w:p w14:paraId="5AE77E3D">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9.1.2受不可抗力影响的一方应继续履行本合同项下未受不可抗力影响的其他义务，包括所有到期付款的义务；</w:t>
      </w:r>
    </w:p>
    <w:p w14:paraId="085D3427">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9.1.3不可抗力因素消除后，该方应尽快恢复履行本合同。</w:t>
      </w:r>
    </w:p>
    <w:p w14:paraId="4976B26F">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9.2若任一方因不可抗力而不能履行本合同，则该方应尽快书面通知对方。该通知书应说明不可抗力的发生日期和预计持续的时间、事件性质、对该方履行本合同的影响及该方为减少不可抗力影响所采取的措施。</w:t>
      </w:r>
    </w:p>
    <w:p w14:paraId="0ADD6932">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9.3受不可抗力影响一方应采取合理的措施，以减少因不可抗力给合同对方带来的损失。双方应及时协商制定并实施补救计划及合理的替代措施以减少或消除不可抗力的影响。如果受不可抗力影响的一方未能履行其应尽义务采取合理措施导致损失扩大，则该方应承担由此扩大造成的损失。</w:t>
      </w:r>
    </w:p>
    <w:p w14:paraId="69FD78C0">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9.4不可抗力造成的合同解除</w:t>
      </w:r>
    </w:p>
    <w:p w14:paraId="280E6C91">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如果自不可抗力发生后 30 日内，双方不能就继续履行合同的条件或解除本合同达成一致意见，任一方有权书面通知对方解除本合同，则该方不需承担责任。</w:t>
      </w:r>
    </w:p>
    <w:p w14:paraId="36EE0DFC">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93" w:name="_Toc31617"/>
      <w:bookmarkStart w:id="94" w:name="_Toc19358_WPSOffice_Level1"/>
      <w:bookmarkStart w:id="95" w:name="_Toc12912_WPSOffice_Level1"/>
      <w:bookmarkStart w:id="96" w:name="_Toc22773"/>
      <w:r>
        <w:rPr>
          <w:rFonts w:hint="eastAsia" w:ascii="黑体" w:hAnsi="黑体" w:eastAsia="黑体" w:cs="黑体"/>
          <w:color w:val="auto"/>
          <w:sz w:val="30"/>
          <w:szCs w:val="30"/>
          <w:highlight w:val="none"/>
        </w:rPr>
        <w:t>第10章　争议的解决</w:t>
      </w:r>
      <w:bookmarkEnd w:id="89"/>
      <w:bookmarkEnd w:id="90"/>
      <w:bookmarkEnd w:id="91"/>
      <w:bookmarkEnd w:id="92"/>
      <w:bookmarkEnd w:id="93"/>
      <w:bookmarkEnd w:id="94"/>
      <w:bookmarkEnd w:id="95"/>
      <w:bookmarkEnd w:id="96"/>
    </w:p>
    <w:p w14:paraId="46665301">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bookmarkStart w:id="97" w:name="_Toc2641"/>
      <w:bookmarkStart w:id="98" w:name="_Toc28190"/>
      <w:bookmarkStart w:id="99" w:name="_Toc13698"/>
      <w:bookmarkStart w:id="100" w:name="_Toc26351"/>
      <w:r>
        <w:rPr>
          <w:rFonts w:hint="eastAsia" w:asciiTheme="minorEastAsia" w:hAnsiTheme="minorEastAsia"/>
          <w:color w:val="auto"/>
          <w:sz w:val="28"/>
          <w:szCs w:val="28"/>
          <w:highlight w:val="none"/>
        </w:rPr>
        <w:t>10.1 凡因执行本合同所发生的与本合同有关的一切争议，双方应协商解决，也可提请电力监管机构和政府主管部门进行调解。协商或调解不成的，任一方依法提请</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所在地有管辖权的人民法院通过诉讼程序解决。</w:t>
      </w:r>
    </w:p>
    <w:bookmarkEnd w:id="97"/>
    <w:bookmarkEnd w:id="98"/>
    <w:bookmarkEnd w:id="99"/>
    <w:bookmarkEnd w:id="100"/>
    <w:p w14:paraId="630EE01E">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jc w:val="center"/>
        <w:textAlignment w:val="auto"/>
        <w:outlineLvl w:val="0"/>
        <w:rPr>
          <w:rFonts w:ascii="黑体" w:hAnsi="黑体" w:eastAsia="黑体" w:cs="黑体"/>
          <w:color w:val="auto"/>
          <w:sz w:val="30"/>
          <w:szCs w:val="30"/>
          <w:highlight w:val="none"/>
        </w:rPr>
      </w:pPr>
      <w:bookmarkStart w:id="101" w:name="_Toc17584"/>
      <w:bookmarkStart w:id="102" w:name="_Toc3981"/>
      <w:bookmarkStart w:id="103" w:name="_Toc19447"/>
      <w:bookmarkStart w:id="104" w:name="_Toc18483_WPSOffice_Level1"/>
      <w:bookmarkStart w:id="105" w:name="_Toc7555"/>
      <w:bookmarkStart w:id="106" w:name="_Toc1564"/>
      <w:bookmarkStart w:id="107" w:name="_Toc19189"/>
      <w:bookmarkStart w:id="108" w:name="_Toc11058_WPSOffice_Level1"/>
      <w:r>
        <w:rPr>
          <w:rFonts w:hint="eastAsia" w:ascii="黑体" w:hAnsi="黑体" w:eastAsia="黑体" w:cs="黑体"/>
          <w:color w:val="auto"/>
          <w:sz w:val="30"/>
          <w:szCs w:val="30"/>
          <w:highlight w:val="none"/>
        </w:rPr>
        <w:t>第11章　其他</w:t>
      </w:r>
      <w:bookmarkEnd w:id="101"/>
      <w:bookmarkEnd w:id="102"/>
      <w:bookmarkEnd w:id="103"/>
      <w:bookmarkEnd w:id="104"/>
      <w:bookmarkEnd w:id="105"/>
      <w:bookmarkEnd w:id="106"/>
      <w:bookmarkEnd w:id="107"/>
      <w:bookmarkEnd w:id="108"/>
    </w:p>
    <w:p w14:paraId="0F1D1EE3">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11.1保密</w:t>
      </w:r>
    </w:p>
    <w:p w14:paraId="35577620">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双方不得以任何理由或目的将获悉的商业秘密和对方提供的资料文件提供给任何第三方。因任一方对相关资料管理原因造成对方保密信息泄露的，由其相关责任人承担相应责任，但按照法律、法规规定可做出披露的情况除外。</w:t>
      </w:r>
    </w:p>
    <w:p w14:paraId="6D2A70CF">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11.2通知与送达</w:t>
      </w:r>
    </w:p>
    <w:p w14:paraId="5A5AE144">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任何与本合同有关的通知、文件和合规的账单等均应按照约定的联络信息以书面方式发送给对方。通过挂号信、快递或当面送交的，经收件方（即企业法人、企业负责人或授权代表）签字确认即被认为送达；若以传真、电子邮件、即时通讯软件等方式发出并被接收，即视为送达。所有通知、文件和合规的账单等均在送达或接收后方能生效。一切通知、账单、资料或文件等应按照约定的联络信息发给对方，直至一方书面通知另一方变更联络信息为止。</w:t>
      </w:r>
    </w:p>
    <w:p w14:paraId="611E9F55">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11.3不放弃权利</w:t>
      </w:r>
    </w:p>
    <w:p w14:paraId="27E49200">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任一方放弃权利应当以书面声明的方式通知对方。任一方未及时行使其在本合同项下的权利，均不应被视为对上述任何权利的放弃。</w:t>
      </w:r>
    </w:p>
    <w:p w14:paraId="7C3AC2CF">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11.4本合同有关解除、诉求和保密的条款在本合同解除后仍然有效。本合同的订立、效力、解释、履行和争议的解决均适用中华人民共和国法律。</w:t>
      </w:r>
    </w:p>
    <w:p w14:paraId="52819A57">
      <w:pPr>
        <w:pStyle w:val="58"/>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11.5双方签订纸质合同，合同一式</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份，均具有同等法律效力，甲方执</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份，乙方执</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份。</w:t>
      </w:r>
    </w:p>
    <w:p w14:paraId="4E12E2F4">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11.6未尽事宜，由双方按照交易规则另行协商并签订补充协议，补充协议与本合同具有同等法律效力。</w:t>
      </w:r>
    </w:p>
    <w:p w14:paraId="02CA698C">
      <w:pPr>
        <w:keepNext w:val="0"/>
        <w:keepLines w:val="0"/>
        <w:pageBreakBefore w:val="0"/>
        <w:widowControl w:val="0"/>
        <w:kinsoku/>
        <w:wordWrap/>
        <w:overflowPunct/>
        <w:topLinePunct w:val="0"/>
        <w:autoSpaceDE/>
        <w:autoSpaceDN/>
        <w:bidi w:val="0"/>
        <w:adjustRightInd/>
        <w:spacing w:line="600" w:lineRule="exact"/>
        <w:ind w:left="0" w:firstLine="560" w:firstLineChars="200"/>
        <w:textAlignment w:val="auto"/>
        <w:rPr>
          <w:rFonts w:hint="eastAsia" w:asciiTheme="minorEastAsia" w:hAnsiTheme="minorEastAsia"/>
          <w:color w:val="auto"/>
          <w:sz w:val="28"/>
          <w:szCs w:val="28"/>
          <w:highlight w:val="none"/>
          <w:u w:val="single"/>
          <w:lang w:val="en-US" w:eastAsia="zh-CN"/>
        </w:rPr>
      </w:pPr>
      <w:r>
        <w:rPr>
          <w:rFonts w:hint="eastAsia" w:asciiTheme="minorEastAsia" w:hAnsiTheme="minorEastAsia"/>
          <w:color w:val="auto"/>
          <w:sz w:val="28"/>
          <w:szCs w:val="28"/>
          <w:highlight w:val="none"/>
          <w:lang w:val="en-US" w:eastAsia="zh-CN"/>
        </w:rPr>
        <w:t>11.7其他事项：</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p>
    <w:p w14:paraId="03F132B4">
      <w:pPr>
        <w:keepNext w:val="0"/>
        <w:keepLines w:val="0"/>
        <w:pageBreakBefore w:val="0"/>
        <w:widowControl w:val="0"/>
        <w:kinsoku/>
        <w:wordWrap/>
        <w:overflowPunct/>
        <w:topLinePunct w:val="0"/>
        <w:autoSpaceDE/>
        <w:autoSpaceDN/>
        <w:bidi w:val="0"/>
        <w:adjustRightInd/>
        <w:spacing w:line="600" w:lineRule="exact"/>
        <w:ind w:left="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甲方</w:t>
      </w: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u w:val="single"/>
        </w:rPr>
        <w:t xml:space="preserve">                                         </w:t>
      </w:r>
    </w:p>
    <w:p w14:paraId="3A03F75D">
      <w:pPr>
        <w:keepNext w:val="0"/>
        <w:keepLines w:val="0"/>
        <w:pageBreakBefore w:val="0"/>
        <w:widowControl w:val="0"/>
        <w:kinsoku/>
        <w:wordWrap/>
        <w:overflowPunct/>
        <w:topLinePunct w:val="0"/>
        <w:autoSpaceDE/>
        <w:autoSpaceDN/>
        <w:bidi w:val="0"/>
        <w:adjustRightInd/>
        <w:spacing w:line="600" w:lineRule="exact"/>
        <w:ind w:left="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法定代表人/授权代理人：</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rPr>
        <w:tab/>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 xml:space="preserve"> </w:t>
      </w:r>
    </w:p>
    <w:p w14:paraId="718C71B3">
      <w:pPr>
        <w:keepNext w:val="0"/>
        <w:keepLines w:val="0"/>
        <w:pageBreakBefore w:val="0"/>
        <w:widowControl w:val="0"/>
        <w:kinsoku/>
        <w:wordWrap/>
        <w:overflowPunct/>
        <w:topLinePunct w:val="0"/>
        <w:autoSpaceDE/>
        <w:autoSpaceDN/>
        <w:bidi w:val="0"/>
        <w:adjustRightInd/>
        <w:spacing w:line="600" w:lineRule="exact"/>
        <w:ind w:left="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盖章日期：</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p>
    <w:p w14:paraId="31E7F725">
      <w:pPr>
        <w:pStyle w:val="15"/>
        <w:keepNext w:val="0"/>
        <w:keepLines w:val="0"/>
        <w:pageBreakBefore w:val="0"/>
        <w:widowControl w:val="0"/>
        <w:kinsoku/>
        <w:wordWrap/>
        <w:overflowPunct/>
        <w:topLinePunct w:val="0"/>
        <w:autoSpaceDE/>
        <w:autoSpaceDN/>
        <w:bidi w:val="0"/>
        <w:adjustRightInd/>
        <w:spacing w:before="0" w:after="0" w:line="600" w:lineRule="exact"/>
        <w:ind w:left="0"/>
        <w:jc w:val="both"/>
        <w:textAlignment w:val="auto"/>
        <w:outlineLvl w:val="9"/>
        <w:rPr>
          <w:color w:val="auto"/>
          <w:highlight w:val="none"/>
        </w:rPr>
      </w:pPr>
    </w:p>
    <w:p w14:paraId="2E20C1B9">
      <w:pPr>
        <w:keepNext w:val="0"/>
        <w:keepLines w:val="0"/>
        <w:pageBreakBefore w:val="0"/>
        <w:widowControl w:val="0"/>
        <w:kinsoku/>
        <w:wordWrap/>
        <w:overflowPunct/>
        <w:topLinePunct w:val="0"/>
        <w:autoSpaceDE/>
        <w:autoSpaceDN/>
        <w:bidi w:val="0"/>
        <w:adjustRightInd/>
        <w:spacing w:line="600" w:lineRule="exact"/>
        <w:ind w:left="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u w:val="single"/>
        </w:rPr>
        <w:t xml:space="preserve">                                        </w:t>
      </w:r>
    </w:p>
    <w:p w14:paraId="46BEF8B0">
      <w:pPr>
        <w:keepNext w:val="0"/>
        <w:keepLines w:val="0"/>
        <w:pageBreakBefore w:val="0"/>
        <w:widowControl w:val="0"/>
        <w:kinsoku/>
        <w:wordWrap/>
        <w:overflowPunct/>
        <w:topLinePunct w:val="0"/>
        <w:autoSpaceDE/>
        <w:autoSpaceDN/>
        <w:bidi w:val="0"/>
        <w:adjustRightInd/>
        <w:spacing w:line="600" w:lineRule="exact"/>
        <w:ind w:left="0"/>
        <w:textAlignment w:val="auto"/>
        <w:rPr>
          <w:rFonts w:asciiTheme="minorEastAsia" w:hAnsiTheme="minorEastAsia"/>
          <w:color w:val="auto"/>
          <w:sz w:val="28"/>
          <w:szCs w:val="28"/>
          <w:highlight w:val="none"/>
          <w:u w:val="single"/>
        </w:rPr>
      </w:pPr>
      <w:r>
        <w:rPr>
          <w:rFonts w:hint="eastAsia" w:asciiTheme="minorEastAsia" w:hAnsiTheme="minorEastAsia"/>
          <w:color w:val="auto"/>
          <w:sz w:val="28"/>
          <w:szCs w:val="28"/>
          <w:highlight w:val="none"/>
        </w:rPr>
        <w:t>法定代表人/授权代理人：</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u w:val="single"/>
        </w:rPr>
        <w:tab/>
      </w:r>
      <w:r>
        <w:rPr>
          <w:rFonts w:hint="eastAsia" w:asciiTheme="minorEastAsia" w:hAnsiTheme="minorEastAsia"/>
          <w:color w:val="auto"/>
          <w:sz w:val="28"/>
          <w:szCs w:val="28"/>
          <w:highlight w:val="none"/>
          <w:u w:val="single"/>
        </w:rPr>
        <w:t xml:space="preserve">                   </w:t>
      </w:r>
    </w:p>
    <w:p w14:paraId="68BCF61C">
      <w:pPr>
        <w:keepNext w:val="0"/>
        <w:keepLines w:val="0"/>
        <w:pageBreakBefore w:val="0"/>
        <w:widowControl w:val="0"/>
        <w:kinsoku/>
        <w:wordWrap/>
        <w:overflowPunct/>
        <w:topLinePunct w:val="0"/>
        <w:autoSpaceDE/>
        <w:autoSpaceDN/>
        <w:bidi w:val="0"/>
        <w:adjustRightInd/>
        <w:spacing w:line="600" w:lineRule="exact"/>
        <w:ind w:left="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盖章日期：</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u w:val="single"/>
        </w:rPr>
        <w:t xml:space="preserve">   </w:t>
      </w:r>
      <w:r>
        <w:rPr>
          <w:rFonts w:hint="eastAsia" w:asciiTheme="minorEastAsia" w:hAnsiTheme="minorEastAsia"/>
          <w:color w:val="auto"/>
          <w:sz w:val="28"/>
          <w:szCs w:val="28"/>
          <w:highlight w:val="none"/>
        </w:rPr>
        <w:t>日</w:t>
      </w:r>
    </w:p>
    <w:p w14:paraId="6AC99626">
      <w:pPr>
        <w:keepNext w:val="0"/>
        <w:keepLines w:val="0"/>
        <w:pageBreakBefore w:val="0"/>
        <w:widowControl w:val="0"/>
        <w:kinsoku/>
        <w:wordWrap/>
        <w:overflowPunct/>
        <w:topLinePunct w:val="0"/>
        <w:autoSpaceDE/>
        <w:autoSpaceDN/>
        <w:bidi w:val="0"/>
        <w:adjustRightInd/>
        <w:spacing w:line="600" w:lineRule="exact"/>
        <w:ind w:left="0"/>
        <w:textAlignment w:val="auto"/>
        <w:rPr>
          <w:color w:val="auto"/>
          <w:highlight w:val="none"/>
        </w:rPr>
      </w:pPr>
    </w:p>
    <w:p w14:paraId="73A671C1">
      <w:pPr>
        <w:keepNext w:val="0"/>
        <w:keepLines w:val="0"/>
        <w:pageBreakBefore w:val="0"/>
        <w:widowControl w:val="0"/>
        <w:kinsoku/>
        <w:wordWrap/>
        <w:overflowPunct/>
        <w:topLinePunct w:val="0"/>
        <w:autoSpaceDE/>
        <w:autoSpaceDN/>
        <w:bidi w:val="0"/>
        <w:adjustRightInd/>
        <w:spacing w:line="600" w:lineRule="exact"/>
        <w:ind w:left="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签订地点：</w:t>
      </w:r>
      <w:r>
        <w:rPr>
          <w:rFonts w:hint="eastAsia" w:asciiTheme="minorEastAsia" w:hAnsiTheme="minorEastAsia"/>
          <w:color w:val="auto"/>
          <w:sz w:val="28"/>
          <w:szCs w:val="28"/>
          <w:highlight w:val="none"/>
          <w:u w:val="single"/>
        </w:rPr>
        <w:t xml:space="preserve">           </w:t>
      </w:r>
      <w:bookmarkStart w:id="110" w:name="_GoBack"/>
      <w:bookmarkEnd w:id="110"/>
      <w:r>
        <w:rPr>
          <w:rFonts w:hint="eastAsia" w:asciiTheme="minorEastAsia" w:hAnsiTheme="minorEastAsia"/>
          <w:color w:val="auto"/>
          <w:sz w:val="28"/>
          <w:szCs w:val="28"/>
          <w:highlight w:val="none"/>
          <w:u w:val="single"/>
        </w:rPr>
        <w:t xml:space="preserve">                         </w:t>
      </w:r>
    </w:p>
    <w:p w14:paraId="5038F2E9">
      <w:pPr>
        <w:spacing w:line="400" w:lineRule="exact"/>
        <w:jc w:val="left"/>
        <w:rPr>
          <w:rFonts w:ascii="宋体" w:hAnsi="宋体"/>
          <w:b/>
          <w:sz w:val="28"/>
          <w:szCs w:val="32"/>
        </w:rPr>
      </w:pPr>
    </w:p>
    <w:p w14:paraId="1D82AFE1">
      <w:pPr>
        <w:spacing w:line="400" w:lineRule="exact"/>
        <w:jc w:val="left"/>
        <w:rPr>
          <w:rFonts w:ascii="Arial" w:hAnsi="宋体" w:cs="Arial"/>
          <w:bCs/>
          <w:kern w:val="0"/>
          <w:sz w:val="24"/>
          <w:szCs w:val="24"/>
        </w:rPr>
      </w:pPr>
      <w:r>
        <w:rPr>
          <w:rFonts w:ascii="宋体" w:hAnsi="宋体"/>
          <w:b/>
          <w:sz w:val="28"/>
          <w:szCs w:val="32"/>
        </w:rPr>
        <w:t>合同附件</w:t>
      </w:r>
      <w:r>
        <w:rPr>
          <w:rFonts w:hint="eastAsia" w:ascii="宋体" w:hAnsi="宋体"/>
          <w:b/>
          <w:sz w:val="28"/>
          <w:szCs w:val="32"/>
        </w:rPr>
        <w:t>：</w:t>
      </w:r>
      <w:r>
        <w:rPr>
          <w:rFonts w:ascii="宋体" w:hAnsi="宋体"/>
          <w:b/>
          <w:sz w:val="28"/>
          <w:szCs w:val="32"/>
        </w:rPr>
        <w:t xml:space="preserve"> </w:t>
      </w:r>
    </w:p>
    <w:p w14:paraId="3844F7A6">
      <w:pPr>
        <w:autoSpaceDE w:val="0"/>
        <w:autoSpaceDN w:val="0"/>
        <w:adjustRightInd w:val="0"/>
        <w:spacing w:before="120" w:after="120" w:line="360" w:lineRule="auto"/>
        <w:ind w:right="151" w:rightChars="72"/>
        <w:contextualSpacing/>
        <w:rPr>
          <w:rFonts w:hint="eastAsia" w:ascii="宋体" w:hAnsi="宋体"/>
          <w:b/>
          <w:sz w:val="28"/>
          <w:szCs w:val="32"/>
        </w:rPr>
      </w:pPr>
      <w:r>
        <w:rPr>
          <w:rFonts w:ascii="Arial" w:hAnsi="宋体" w:cs="Arial"/>
          <w:bCs/>
          <w:kern w:val="0"/>
          <w:szCs w:val="21"/>
        </w:rPr>
        <w:t>附件</w:t>
      </w:r>
      <w:r>
        <w:rPr>
          <w:rFonts w:hint="eastAsia" w:ascii="Arial" w:hAnsi="Arial" w:cs="Arial"/>
          <w:bCs/>
          <w:kern w:val="0"/>
          <w:szCs w:val="21"/>
          <w:lang w:val="en-US" w:eastAsia="zh-CN"/>
        </w:rPr>
        <w:t>1</w:t>
      </w:r>
      <w:r>
        <w:rPr>
          <w:rFonts w:ascii="Arial" w:hAnsi="宋体" w:cs="Arial"/>
          <w:bCs/>
          <w:kern w:val="0"/>
          <w:szCs w:val="21"/>
        </w:rPr>
        <w:t>、工程建设项目廉政责任书</w:t>
      </w:r>
    </w:p>
    <w:p w14:paraId="5F262C9E">
      <w:pPr>
        <w:spacing w:line="400" w:lineRule="exact"/>
        <w:jc w:val="left"/>
        <w:rPr>
          <w:rFonts w:ascii="宋体" w:hAnsi="宋体"/>
          <w:b/>
          <w:sz w:val="28"/>
          <w:szCs w:val="32"/>
        </w:rPr>
      </w:pPr>
      <w:r>
        <w:rPr>
          <w:rFonts w:ascii="宋体" w:hAnsi="宋体"/>
          <w:b/>
          <w:sz w:val="28"/>
          <w:szCs w:val="32"/>
        </w:rPr>
        <w:t>附件</w:t>
      </w:r>
      <w:r>
        <w:rPr>
          <w:rFonts w:hint="eastAsia" w:ascii="宋体" w:hAnsi="宋体"/>
          <w:b/>
          <w:sz w:val="28"/>
          <w:szCs w:val="32"/>
          <w:lang w:val="en-US" w:eastAsia="zh-CN"/>
        </w:rPr>
        <w:t>1</w:t>
      </w:r>
      <w:r>
        <w:rPr>
          <w:rFonts w:hint="eastAsia" w:ascii="宋体" w:hAnsi="宋体"/>
          <w:b/>
          <w:sz w:val="28"/>
          <w:szCs w:val="32"/>
        </w:rPr>
        <w:t xml:space="preserve">    </w:t>
      </w:r>
    </w:p>
    <w:p w14:paraId="7F95D624">
      <w:pPr>
        <w:spacing w:line="400" w:lineRule="exact"/>
        <w:jc w:val="center"/>
        <w:rPr>
          <w:rFonts w:ascii="宋体" w:hAnsi="宋体"/>
          <w:b/>
          <w:sz w:val="28"/>
          <w:szCs w:val="32"/>
        </w:rPr>
      </w:pPr>
      <w:r>
        <w:rPr>
          <w:rFonts w:hint="eastAsia" w:ascii="宋体" w:hAnsi="宋体"/>
          <w:b/>
          <w:sz w:val="28"/>
          <w:szCs w:val="32"/>
        </w:rPr>
        <w:t>项目廉政责任书</w:t>
      </w:r>
    </w:p>
    <w:p w14:paraId="1B41B166">
      <w:pPr>
        <w:spacing w:line="360" w:lineRule="auto"/>
        <w:ind w:right="151" w:rightChars="72"/>
        <w:jc w:val="center"/>
        <w:rPr>
          <w:rFonts w:ascii="Arial" w:hAnsi="Arial" w:cs="Arial"/>
          <w:bCs/>
          <w:sz w:val="24"/>
          <w:szCs w:val="24"/>
        </w:rPr>
      </w:pPr>
    </w:p>
    <w:p w14:paraId="411D0B32">
      <w:pPr>
        <w:tabs>
          <w:tab w:val="left" w:pos="2640"/>
        </w:tabs>
        <w:spacing w:line="360" w:lineRule="auto"/>
        <w:ind w:right="151" w:rightChars="72"/>
        <w:rPr>
          <w:rFonts w:ascii="Arial" w:hAnsi="Arial" w:cs="Arial"/>
          <w:bCs/>
          <w:szCs w:val="21"/>
        </w:rPr>
      </w:pPr>
      <w:r>
        <w:rPr>
          <w:rFonts w:ascii="Arial" w:hAnsi="宋体" w:cs="Arial"/>
          <w:bCs/>
          <w:szCs w:val="21"/>
        </w:rPr>
        <w:t>工程项目名称：</w:t>
      </w:r>
      <w:r>
        <w:rPr>
          <w:rFonts w:hint="eastAsia" w:ascii="Arial" w:hAnsi="宋体" w:cs="Arial"/>
          <w:bCs/>
          <w:szCs w:val="21"/>
          <w:lang w:val="en-US" w:eastAsia="zh-CN"/>
        </w:rPr>
        <w:t>电力市场化交易售电项目</w:t>
      </w:r>
    </w:p>
    <w:p w14:paraId="60AEEEE7">
      <w:pPr>
        <w:spacing w:line="360" w:lineRule="auto"/>
        <w:ind w:right="151" w:rightChars="72"/>
        <w:rPr>
          <w:rFonts w:hint="default" w:ascii="Arial" w:hAnsi="宋体" w:cs="Arial"/>
          <w:bCs/>
          <w:szCs w:val="21"/>
          <w:lang w:val="en-US"/>
        </w:rPr>
      </w:pPr>
      <w:r>
        <w:rPr>
          <w:rFonts w:ascii="Arial" w:hAnsi="宋体" w:cs="Arial"/>
          <w:bCs/>
          <w:szCs w:val="21"/>
        </w:rPr>
        <w:t>工程项目地址：</w:t>
      </w:r>
      <w:r>
        <w:rPr>
          <w:rFonts w:hint="eastAsia" w:ascii="Arial" w:hAnsi="宋体" w:cs="Arial"/>
          <w:bCs/>
          <w:szCs w:val="21"/>
          <w:lang w:val="en-US" w:eastAsia="zh-CN"/>
        </w:rPr>
        <w:t>金盛达建材家居博览中心</w:t>
      </w:r>
    </w:p>
    <w:p w14:paraId="6705CB1C">
      <w:pPr>
        <w:spacing w:line="360" w:lineRule="auto"/>
        <w:ind w:right="151" w:rightChars="72"/>
        <w:rPr>
          <w:rFonts w:ascii="Arial" w:hAnsi="Arial" w:cs="Arial"/>
          <w:b/>
          <w:bCs/>
          <w:szCs w:val="21"/>
        </w:rPr>
      </w:pPr>
      <w:r>
        <w:rPr>
          <w:rFonts w:ascii="Arial" w:hAnsi="宋体" w:cs="Arial"/>
          <w:b/>
          <w:bCs/>
          <w:szCs w:val="21"/>
        </w:rPr>
        <w:t>发包人：</w:t>
      </w:r>
      <w:r>
        <w:rPr>
          <w:rFonts w:hint="eastAsia" w:ascii="宋体" w:hAnsi="宋体"/>
          <w:kern w:val="0"/>
          <w:sz w:val="24"/>
          <w:szCs w:val="24"/>
          <w:u w:val="none"/>
          <w:lang w:val="en-US" w:eastAsia="zh-CN"/>
        </w:rPr>
        <w:t>海南寅鼎实业有限公司</w:t>
      </w:r>
    </w:p>
    <w:p w14:paraId="17CE15DE">
      <w:pPr>
        <w:spacing w:line="360" w:lineRule="auto"/>
        <w:ind w:right="151" w:rightChars="72"/>
        <w:rPr>
          <w:rFonts w:ascii="Arial" w:hAnsi="Arial" w:cs="Arial"/>
          <w:b/>
          <w:bCs/>
          <w:szCs w:val="21"/>
        </w:rPr>
      </w:pPr>
      <w:r>
        <w:rPr>
          <w:rFonts w:ascii="Arial" w:hAnsi="宋体" w:cs="Arial"/>
          <w:b/>
          <w:bCs/>
          <w:szCs w:val="21"/>
        </w:rPr>
        <w:t>承包人：</w:t>
      </w:r>
      <w:r>
        <w:rPr>
          <w:rFonts w:hint="eastAsia" w:ascii="Arial" w:hAnsi="宋体" w:cs="Arial"/>
          <w:b/>
          <w:bCs/>
          <w:szCs w:val="21"/>
        </w:rPr>
        <w:t xml:space="preserve"> </w:t>
      </w:r>
    </w:p>
    <w:p w14:paraId="0185798E">
      <w:pPr>
        <w:spacing w:line="360" w:lineRule="auto"/>
        <w:ind w:right="151" w:rightChars="72" w:firstLine="420" w:firstLineChars="200"/>
        <w:rPr>
          <w:rFonts w:ascii="Arial" w:hAnsi="Arial" w:cs="Arial"/>
          <w:bCs/>
          <w:szCs w:val="21"/>
        </w:rPr>
      </w:pPr>
      <w:r>
        <w:rPr>
          <w:rFonts w:ascii="Arial" w:hAnsi="宋体" w:cs="Arial"/>
          <w:bCs/>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21B375AB">
      <w:pPr>
        <w:spacing w:line="360" w:lineRule="auto"/>
        <w:ind w:right="151" w:rightChars="72"/>
        <w:rPr>
          <w:rFonts w:ascii="Arial" w:hAnsi="Arial" w:cs="Arial"/>
          <w:b/>
          <w:bCs/>
          <w:szCs w:val="21"/>
        </w:rPr>
      </w:pPr>
      <w:r>
        <w:rPr>
          <w:rFonts w:ascii="Arial" w:hAnsi="宋体" w:cs="Arial"/>
          <w:b/>
          <w:bCs/>
          <w:szCs w:val="21"/>
        </w:rPr>
        <w:t>第一条</w:t>
      </w:r>
      <w:r>
        <w:rPr>
          <w:rFonts w:ascii="Arial" w:hAnsi="Arial" w:cs="Arial"/>
          <w:b/>
          <w:bCs/>
          <w:szCs w:val="21"/>
        </w:rPr>
        <w:t xml:space="preserve">  </w:t>
      </w:r>
      <w:r>
        <w:rPr>
          <w:rFonts w:ascii="Arial" w:hAnsi="宋体" w:cs="Arial"/>
          <w:b/>
          <w:bCs/>
          <w:szCs w:val="21"/>
        </w:rPr>
        <w:t>双方的责任</w:t>
      </w:r>
      <w:r>
        <w:rPr>
          <w:rFonts w:ascii="Arial" w:hAnsi="Arial" w:cs="Arial"/>
          <w:b/>
          <w:bCs/>
          <w:szCs w:val="21"/>
        </w:rPr>
        <w:t xml:space="preserve"> </w:t>
      </w:r>
    </w:p>
    <w:p w14:paraId="234DCA1A">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一</w:t>
      </w:r>
      <w:r>
        <w:rPr>
          <w:rFonts w:ascii="Arial" w:hAnsi="Arial" w:cs="Arial"/>
          <w:bCs/>
          <w:szCs w:val="21"/>
        </w:rPr>
        <w:t>)</w:t>
      </w:r>
      <w:r>
        <w:rPr>
          <w:rFonts w:ascii="Arial" w:hAnsi="宋体" w:cs="Arial"/>
          <w:bCs/>
          <w:szCs w:val="21"/>
        </w:rPr>
        <w:t>应严格遵守国家关于市场准入、项目招标投标、工程建设、施工安装和市场活动等有关法律、法规，相关政策，以及廉政建设的各项规定。</w:t>
      </w:r>
    </w:p>
    <w:p w14:paraId="580AC0BE">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二</w:t>
      </w:r>
      <w:r>
        <w:rPr>
          <w:rFonts w:ascii="Arial" w:hAnsi="Arial" w:cs="Arial"/>
          <w:bCs/>
          <w:szCs w:val="21"/>
        </w:rPr>
        <w:t>)</w:t>
      </w:r>
      <w:r>
        <w:rPr>
          <w:rFonts w:ascii="Arial" w:hAnsi="宋体" w:cs="Arial"/>
          <w:bCs/>
          <w:szCs w:val="21"/>
        </w:rPr>
        <w:t>严格执行建设工程项目承发包合同文件，自觉按合同办事。</w:t>
      </w:r>
    </w:p>
    <w:p w14:paraId="615650B4">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三</w:t>
      </w:r>
      <w:r>
        <w:rPr>
          <w:rFonts w:ascii="Arial" w:hAnsi="Arial" w:cs="Arial"/>
          <w:bCs/>
          <w:szCs w:val="21"/>
        </w:rPr>
        <w:t>)</w:t>
      </w:r>
      <w:r>
        <w:rPr>
          <w:rFonts w:ascii="Arial" w:hAnsi="宋体" w:cs="Arial"/>
          <w:bCs/>
          <w:szCs w:val="21"/>
        </w:rPr>
        <w:t>业务活动必须坚持公开、公平、公正、诚信、透明的原则</w:t>
      </w:r>
      <w:r>
        <w:rPr>
          <w:rFonts w:ascii="Arial" w:hAnsi="Arial" w:cs="Arial"/>
          <w:bCs/>
          <w:szCs w:val="21"/>
        </w:rPr>
        <w:t>(</w:t>
      </w:r>
      <w:r>
        <w:rPr>
          <w:rFonts w:ascii="Arial" w:hAnsi="宋体" w:cs="Arial"/>
          <w:bCs/>
          <w:szCs w:val="21"/>
        </w:rPr>
        <w:t>除法律法规另有规定者外</w:t>
      </w:r>
      <w:r>
        <w:rPr>
          <w:rFonts w:ascii="Arial" w:hAnsi="Arial" w:cs="Arial"/>
          <w:bCs/>
          <w:szCs w:val="21"/>
        </w:rPr>
        <w:t>)</w:t>
      </w:r>
      <w:r>
        <w:rPr>
          <w:rFonts w:ascii="Arial" w:hAnsi="宋体" w:cs="Arial"/>
          <w:bCs/>
          <w:szCs w:val="21"/>
        </w:rPr>
        <w:t>，不得为获取不正当的利益，损害国家、集体和对方利益，不得违反工程建设管理、施工安装的规章制度。</w:t>
      </w:r>
    </w:p>
    <w:p w14:paraId="4ABA8DF1">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四</w:t>
      </w:r>
      <w:r>
        <w:rPr>
          <w:rFonts w:ascii="Arial" w:hAnsi="Arial" w:cs="Arial"/>
          <w:bCs/>
          <w:szCs w:val="21"/>
        </w:rPr>
        <w:t>)</w:t>
      </w:r>
      <w:r>
        <w:rPr>
          <w:rFonts w:ascii="Arial" w:hAnsi="宋体" w:cs="Arial"/>
          <w:bCs/>
          <w:szCs w:val="21"/>
        </w:rPr>
        <w:t>发现对方在业务活动中有违规、违纪、违法行为的，应及时提醒对方，情节严重的，应向其上级主管部门或纪检监察、司法等有关机关举报。</w:t>
      </w:r>
    </w:p>
    <w:p w14:paraId="23217F46">
      <w:pPr>
        <w:spacing w:line="360" w:lineRule="auto"/>
        <w:ind w:right="151" w:rightChars="72"/>
        <w:rPr>
          <w:rFonts w:ascii="Arial" w:hAnsi="Arial" w:cs="Arial"/>
          <w:b/>
          <w:bCs/>
          <w:szCs w:val="21"/>
        </w:rPr>
      </w:pPr>
      <w:r>
        <w:rPr>
          <w:rFonts w:ascii="Arial" w:hAnsi="宋体" w:cs="Arial"/>
          <w:b/>
          <w:bCs/>
          <w:szCs w:val="21"/>
        </w:rPr>
        <w:t>第二条</w:t>
      </w:r>
      <w:r>
        <w:rPr>
          <w:rFonts w:ascii="Arial" w:hAnsi="Arial" w:cs="Arial"/>
          <w:b/>
          <w:bCs/>
          <w:szCs w:val="21"/>
        </w:rPr>
        <w:t xml:space="preserve">  </w:t>
      </w:r>
      <w:r>
        <w:rPr>
          <w:rFonts w:ascii="Arial" w:hAnsi="宋体" w:cs="Arial"/>
          <w:b/>
          <w:bCs/>
          <w:szCs w:val="21"/>
        </w:rPr>
        <w:t>发包人责任</w:t>
      </w:r>
    </w:p>
    <w:p w14:paraId="62259028">
      <w:pPr>
        <w:spacing w:line="360" w:lineRule="auto"/>
        <w:ind w:right="151" w:rightChars="72"/>
        <w:rPr>
          <w:rFonts w:hint="eastAsia" w:ascii="Arial" w:hAnsi="宋体" w:eastAsia="宋体" w:cs="Arial"/>
          <w:kern w:val="0"/>
          <w:szCs w:val="21"/>
          <w:lang w:eastAsia="zh-CN"/>
        </w:rPr>
      </w:pPr>
      <w:r>
        <w:rPr>
          <w:rFonts w:ascii="Arial" w:hAnsi="宋体" w:cs="Arial"/>
          <w:kern w:val="0"/>
          <w:szCs w:val="21"/>
        </w:rPr>
        <w:t>发包人的领导和从事该建设工程项目的工作人员，在工程建设的事前、事中、事后应遵守以下规定：</w:t>
      </w:r>
    </w:p>
    <w:p w14:paraId="261B4BB9">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一</w:t>
      </w:r>
      <w:r>
        <w:rPr>
          <w:rFonts w:ascii="Arial" w:hAnsi="Arial" w:cs="Arial"/>
          <w:bCs/>
          <w:szCs w:val="21"/>
        </w:rPr>
        <w:t>)</w:t>
      </w:r>
      <w:r>
        <w:rPr>
          <w:rFonts w:ascii="Arial" w:hAnsi="宋体" w:cs="Arial"/>
          <w:bCs/>
          <w:szCs w:val="21"/>
        </w:rPr>
        <w:t>不准向承包人和相关单位索要或接受回扣、礼金、有价证券、贵重物品和好处费、感谢费等。</w:t>
      </w:r>
    </w:p>
    <w:p w14:paraId="5DDC837E">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二</w:t>
      </w:r>
      <w:r>
        <w:rPr>
          <w:rFonts w:ascii="Arial" w:hAnsi="Arial" w:cs="Arial"/>
          <w:bCs/>
          <w:szCs w:val="21"/>
        </w:rPr>
        <w:t>)</w:t>
      </w:r>
      <w:r>
        <w:rPr>
          <w:rFonts w:ascii="Arial" w:hAnsi="宋体" w:cs="Arial"/>
          <w:bCs/>
          <w:szCs w:val="21"/>
        </w:rPr>
        <w:t>不准在承包人和相关单位报销任何应由发包人或个人支付的费用。</w:t>
      </w:r>
    </w:p>
    <w:p w14:paraId="42976690">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三</w:t>
      </w:r>
      <w:r>
        <w:rPr>
          <w:rFonts w:ascii="Arial" w:hAnsi="Arial" w:cs="Arial"/>
          <w:bCs/>
          <w:szCs w:val="21"/>
        </w:rPr>
        <w:t>)</w:t>
      </w:r>
      <w:r>
        <w:rPr>
          <w:rFonts w:ascii="Arial" w:hAnsi="宋体" w:cs="Arial"/>
          <w:bCs/>
          <w:szCs w:val="21"/>
        </w:rPr>
        <w:t>不准要求、暗示和接受承包人和相关单位为个人装修住房、婚丧嫁娶、配偶子女的工作安排以及出国</w:t>
      </w:r>
      <w:r>
        <w:rPr>
          <w:rFonts w:ascii="Arial" w:hAnsi="Arial" w:cs="Arial"/>
          <w:bCs/>
          <w:szCs w:val="21"/>
        </w:rPr>
        <w:t>(</w:t>
      </w:r>
      <w:r>
        <w:rPr>
          <w:rFonts w:ascii="Arial" w:hAnsi="宋体" w:cs="Arial"/>
          <w:bCs/>
          <w:szCs w:val="21"/>
        </w:rPr>
        <w:t>境</w:t>
      </w:r>
      <w:r>
        <w:rPr>
          <w:rFonts w:ascii="Arial" w:hAnsi="Arial" w:cs="Arial"/>
          <w:bCs/>
          <w:szCs w:val="21"/>
        </w:rPr>
        <w:t>)</w:t>
      </w:r>
      <w:r>
        <w:rPr>
          <w:rFonts w:ascii="Arial" w:hAnsi="宋体" w:cs="Arial"/>
          <w:bCs/>
          <w:szCs w:val="21"/>
        </w:rPr>
        <w:t>、旅游等提供方便。</w:t>
      </w:r>
    </w:p>
    <w:p w14:paraId="4D353207">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四</w:t>
      </w:r>
      <w:r>
        <w:rPr>
          <w:rFonts w:ascii="Arial" w:hAnsi="Arial" w:cs="Arial"/>
          <w:bCs/>
          <w:szCs w:val="21"/>
        </w:rPr>
        <w:t>)</w:t>
      </w:r>
      <w:r>
        <w:rPr>
          <w:rFonts w:ascii="Arial" w:hAnsi="宋体" w:cs="Arial"/>
          <w:bCs/>
          <w:szCs w:val="21"/>
        </w:rPr>
        <w:t>不准参加有可能影响公正执行公务的承包人和相关单位的宴请和健身、娱乐等活动。</w:t>
      </w:r>
    </w:p>
    <w:p w14:paraId="1A766BC7">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五</w:t>
      </w:r>
      <w:r>
        <w:rPr>
          <w:rFonts w:ascii="Arial" w:hAnsi="Arial" w:cs="Arial"/>
          <w:bCs/>
          <w:szCs w:val="21"/>
        </w:rPr>
        <w:t>)</w:t>
      </w:r>
      <w:r>
        <w:rPr>
          <w:rFonts w:ascii="Arial" w:hAnsi="宋体" w:cs="Arial"/>
          <w:bCs/>
          <w:szCs w:val="21"/>
        </w:rPr>
        <w:t>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14:paraId="4E3B6E14">
      <w:pPr>
        <w:spacing w:line="360" w:lineRule="auto"/>
        <w:ind w:right="151" w:rightChars="72"/>
        <w:rPr>
          <w:rFonts w:ascii="Arial" w:hAnsi="Arial" w:cs="Arial"/>
          <w:b/>
          <w:bCs/>
          <w:szCs w:val="21"/>
        </w:rPr>
      </w:pPr>
      <w:r>
        <w:rPr>
          <w:rFonts w:ascii="Arial" w:hAnsi="宋体" w:cs="Arial"/>
          <w:b/>
          <w:bCs/>
          <w:szCs w:val="21"/>
        </w:rPr>
        <w:t>第三条</w:t>
      </w:r>
      <w:r>
        <w:rPr>
          <w:rFonts w:ascii="Arial" w:hAnsi="Arial" w:cs="Arial"/>
          <w:b/>
          <w:bCs/>
          <w:szCs w:val="21"/>
        </w:rPr>
        <w:t xml:space="preserve">  </w:t>
      </w:r>
      <w:r>
        <w:rPr>
          <w:rFonts w:ascii="Arial" w:hAnsi="宋体" w:cs="Arial"/>
          <w:b/>
          <w:bCs/>
          <w:szCs w:val="21"/>
        </w:rPr>
        <w:t>承包人的责任</w:t>
      </w:r>
    </w:p>
    <w:p w14:paraId="5A40AE9C">
      <w:pPr>
        <w:spacing w:line="360" w:lineRule="auto"/>
        <w:ind w:right="151" w:rightChars="72"/>
        <w:rPr>
          <w:rFonts w:ascii="Arial" w:hAnsi="Arial" w:cs="Arial"/>
          <w:bCs/>
          <w:szCs w:val="21"/>
        </w:rPr>
      </w:pPr>
      <w:r>
        <w:rPr>
          <w:rFonts w:ascii="Arial" w:hAnsi="宋体" w:cs="Arial"/>
          <w:bCs/>
          <w:szCs w:val="21"/>
        </w:rPr>
        <w:t>应与发包人保持正常的业务交往，按照有关法律法规和程序开展业务工作，严格执行工程建设的有关方针、政策，尤其是有关建筑施工安装的强制性标准和规范，并遵守以下规定：</w:t>
      </w:r>
    </w:p>
    <w:p w14:paraId="1F00D36D">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一</w:t>
      </w:r>
      <w:r>
        <w:rPr>
          <w:rFonts w:ascii="Arial" w:hAnsi="Arial" w:cs="Arial"/>
          <w:bCs/>
          <w:szCs w:val="21"/>
        </w:rPr>
        <w:t>)</w:t>
      </w:r>
      <w:r>
        <w:rPr>
          <w:rFonts w:ascii="Arial" w:hAnsi="宋体" w:cs="Arial"/>
          <w:bCs/>
          <w:szCs w:val="21"/>
        </w:rPr>
        <w:t>不准以任何理由向发包人、相关单位及其工作人员索要、接受或赠送礼金、有价证券、贵重物品和回扣、好处费、感谢费等。</w:t>
      </w:r>
    </w:p>
    <w:p w14:paraId="7D9E9DC8">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二</w:t>
      </w:r>
      <w:r>
        <w:rPr>
          <w:rFonts w:ascii="Arial" w:hAnsi="Arial" w:cs="Arial"/>
          <w:bCs/>
          <w:szCs w:val="21"/>
        </w:rPr>
        <w:t>)</w:t>
      </w:r>
      <w:r>
        <w:rPr>
          <w:rFonts w:ascii="Arial" w:hAnsi="宋体" w:cs="Arial"/>
          <w:bCs/>
          <w:szCs w:val="21"/>
        </w:rPr>
        <w:t>不准以任何理由为发包人和相关单位报销应由对方或个人支付的费用。</w:t>
      </w:r>
    </w:p>
    <w:p w14:paraId="256DB5E1">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三</w:t>
      </w:r>
      <w:r>
        <w:rPr>
          <w:rFonts w:ascii="Arial" w:hAnsi="Arial" w:cs="Arial"/>
          <w:bCs/>
          <w:szCs w:val="21"/>
        </w:rPr>
        <w:t>)</w:t>
      </w:r>
      <w:r>
        <w:rPr>
          <w:rFonts w:ascii="Arial" w:hAnsi="宋体" w:cs="Arial"/>
          <w:bCs/>
          <w:szCs w:val="21"/>
        </w:rPr>
        <w:t>不准接受或暗示为发包人、相关单位或个人装修住房、婚丧嫁娶、配偶子女的工作安排以及出国</w:t>
      </w:r>
      <w:r>
        <w:rPr>
          <w:rFonts w:ascii="Arial" w:hAnsi="Arial" w:cs="Arial"/>
          <w:bCs/>
          <w:szCs w:val="21"/>
        </w:rPr>
        <w:t>(</w:t>
      </w:r>
      <w:r>
        <w:rPr>
          <w:rFonts w:ascii="Arial" w:hAnsi="宋体" w:cs="Arial"/>
          <w:bCs/>
          <w:szCs w:val="21"/>
        </w:rPr>
        <w:t>境</w:t>
      </w:r>
      <w:r>
        <w:rPr>
          <w:rFonts w:ascii="Arial" w:hAnsi="Arial" w:cs="Arial"/>
          <w:bCs/>
          <w:szCs w:val="21"/>
        </w:rPr>
        <w:t>)</w:t>
      </w:r>
      <w:r>
        <w:rPr>
          <w:rFonts w:ascii="Arial" w:hAnsi="宋体" w:cs="Arial"/>
          <w:bCs/>
          <w:szCs w:val="21"/>
        </w:rPr>
        <w:t>、旅游等提供方便。</w:t>
      </w:r>
    </w:p>
    <w:p w14:paraId="3FE1A547">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四</w:t>
      </w:r>
      <w:r>
        <w:rPr>
          <w:rFonts w:ascii="Arial" w:hAnsi="Arial" w:cs="Arial"/>
          <w:bCs/>
          <w:szCs w:val="21"/>
        </w:rPr>
        <w:t>)</w:t>
      </w:r>
      <w:r>
        <w:rPr>
          <w:rFonts w:ascii="Arial" w:hAnsi="宋体" w:cs="Arial"/>
          <w:bCs/>
          <w:szCs w:val="21"/>
        </w:rPr>
        <w:t>不准以任何理由为发包人、相关单位或个人组织有可能影响公正执行公务的宴请、健身、娱乐等活动。</w:t>
      </w:r>
    </w:p>
    <w:p w14:paraId="6CB87A6A">
      <w:pPr>
        <w:spacing w:line="360" w:lineRule="auto"/>
        <w:ind w:right="151" w:rightChars="72"/>
        <w:rPr>
          <w:rFonts w:ascii="Arial" w:hAnsi="Arial" w:cs="Arial"/>
          <w:b/>
          <w:bCs/>
          <w:szCs w:val="21"/>
        </w:rPr>
      </w:pPr>
      <w:r>
        <w:rPr>
          <w:rFonts w:ascii="Arial" w:hAnsi="宋体" w:cs="Arial"/>
          <w:b/>
          <w:bCs/>
          <w:szCs w:val="21"/>
        </w:rPr>
        <w:t>第四条</w:t>
      </w:r>
      <w:r>
        <w:rPr>
          <w:rFonts w:ascii="Arial" w:hAnsi="Arial" w:cs="Arial"/>
          <w:b/>
          <w:bCs/>
          <w:szCs w:val="21"/>
        </w:rPr>
        <w:t xml:space="preserve">  </w:t>
      </w:r>
      <w:r>
        <w:rPr>
          <w:rFonts w:ascii="Arial" w:hAnsi="宋体" w:cs="Arial"/>
          <w:b/>
          <w:bCs/>
          <w:szCs w:val="21"/>
        </w:rPr>
        <w:t>违约责任</w:t>
      </w:r>
    </w:p>
    <w:p w14:paraId="427C85FC">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一</w:t>
      </w:r>
      <w:r>
        <w:rPr>
          <w:rFonts w:ascii="Arial" w:hAnsi="Arial" w:cs="Arial"/>
          <w:bCs/>
          <w:szCs w:val="21"/>
        </w:rPr>
        <w:t>)</w:t>
      </w:r>
      <w:r>
        <w:rPr>
          <w:rFonts w:ascii="Arial" w:hAnsi="宋体" w:cs="Arial"/>
          <w:bCs/>
          <w:szCs w:val="21"/>
        </w:rPr>
        <w:t>发包人工作人员有违反本责任书第一、二条责任行为的，按照管理权限，依据有关法律法规和规定给予党纪、政纪处分或组织处理；涉嫌犯罪的，移交司法机关追究刑事责任；给承包人单位造成经济损失的，应予以赔偿。</w:t>
      </w:r>
    </w:p>
    <w:p w14:paraId="115E845C">
      <w:pPr>
        <w:spacing w:line="360" w:lineRule="auto"/>
        <w:ind w:right="151" w:rightChars="72"/>
        <w:rPr>
          <w:rFonts w:ascii="Arial" w:hAnsi="Arial" w:cs="Arial"/>
          <w:bCs/>
          <w:szCs w:val="21"/>
        </w:rPr>
      </w:pPr>
      <w:r>
        <w:rPr>
          <w:rFonts w:ascii="Arial" w:hAnsi="Arial" w:cs="Arial"/>
          <w:bCs/>
          <w:szCs w:val="21"/>
        </w:rPr>
        <w:t>(</w:t>
      </w:r>
      <w:r>
        <w:rPr>
          <w:rFonts w:ascii="Arial" w:hAnsi="宋体" w:cs="Arial"/>
          <w:bCs/>
          <w:szCs w:val="21"/>
        </w:rPr>
        <w:t>二</w:t>
      </w:r>
      <w:r>
        <w:rPr>
          <w:rFonts w:ascii="Arial" w:hAnsi="Arial" w:cs="Arial"/>
          <w:bCs/>
          <w:szCs w:val="21"/>
        </w:rPr>
        <w:t>)</w:t>
      </w:r>
      <w:r>
        <w:rPr>
          <w:rFonts w:ascii="Arial" w:hAnsi="宋体" w:cs="Arial"/>
          <w:bCs/>
          <w:szCs w:val="21"/>
        </w:rPr>
        <w:t>承包人工作人员有违反本责任书第一、三条责任行为的，按照管理权限，依据有关法律法规和规定给予党纪、政纪处分或组织处理；涉嫌犯罪的，移交司法机关追究刑事责任；给发包人单位造成经济损失的，应予以赔偿。</w:t>
      </w:r>
    </w:p>
    <w:p w14:paraId="3F780442">
      <w:pPr>
        <w:spacing w:line="360" w:lineRule="auto"/>
        <w:ind w:right="151" w:rightChars="72"/>
        <w:rPr>
          <w:rFonts w:ascii="Arial" w:hAnsi="Arial" w:cs="Arial"/>
          <w:bCs/>
          <w:szCs w:val="21"/>
        </w:rPr>
      </w:pPr>
      <w:r>
        <w:rPr>
          <w:rFonts w:ascii="Arial" w:hAnsi="宋体" w:cs="Arial"/>
          <w:b/>
          <w:bCs/>
          <w:szCs w:val="21"/>
        </w:rPr>
        <w:t>第五条</w:t>
      </w:r>
      <w:r>
        <w:rPr>
          <w:rFonts w:ascii="Arial" w:hAnsi="Arial" w:cs="Arial"/>
          <w:b/>
          <w:bCs/>
          <w:szCs w:val="21"/>
        </w:rPr>
        <w:t xml:space="preserve"> </w:t>
      </w:r>
      <w:r>
        <w:rPr>
          <w:rFonts w:ascii="Arial" w:hAnsi="Arial" w:cs="Arial"/>
          <w:bCs/>
          <w:szCs w:val="21"/>
        </w:rPr>
        <w:t xml:space="preserve"> </w:t>
      </w:r>
      <w:r>
        <w:rPr>
          <w:rFonts w:ascii="Arial" w:hAnsi="宋体" w:cs="Arial"/>
          <w:bCs/>
          <w:szCs w:val="21"/>
        </w:rPr>
        <w:t>本责任书作为工程施工合同的附件，与工程施工合同具有同等法律效力。经双方签署后立即生效。</w:t>
      </w:r>
    </w:p>
    <w:p w14:paraId="52F66C29">
      <w:pPr>
        <w:spacing w:line="360" w:lineRule="auto"/>
        <w:ind w:right="151" w:rightChars="72"/>
        <w:rPr>
          <w:rFonts w:ascii="Arial" w:hAnsi="Arial" w:cs="Arial"/>
          <w:bCs/>
          <w:szCs w:val="21"/>
        </w:rPr>
      </w:pPr>
      <w:r>
        <w:rPr>
          <w:rFonts w:ascii="Arial" w:hAnsi="宋体" w:cs="Arial"/>
          <w:b/>
          <w:bCs/>
          <w:szCs w:val="21"/>
        </w:rPr>
        <w:t>第六条</w:t>
      </w:r>
      <w:r>
        <w:rPr>
          <w:rFonts w:ascii="Arial" w:hAnsi="Arial" w:cs="Arial"/>
          <w:bCs/>
          <w:szCs w:val="21"/>
        </w:rPr>
        <w:t xml:space="preserve">  </w:t>
      </w:r>
      <w:r>
        <w:rPr>
          <w:rFonts w:ascii="Arial" w:hAnsi="宋体" w:cs="Arial"/>
          <w:bCs/>
          <w:szCs w:val="21"/>
        </w:rPr>
        <w:t>本责任书的有效期为双方签署之日起至该工程项目竣工验收合格</w:t>
      </w:r>
      <w:r>
        <w:rPr>
          <w:rFonts w:ascii="Arial" w:hAnsi="Arial" w:cs="Arial"/>
          <w:kern w:val="0"/>
          <w:szCs w:val="21"/>
        </w:rPr>
        <w:t>(</w:t>
      </w:r>
      <w:r>
        <w:rPr>
          <w:rFonts w:ascii="Arial" w:hAnsi="宋体" w:cs="Arial"/>
          <w:kern w:val="0"/>
          <w:szCs w:val="21"/>
        </w:rPr>
        <w:t>主合同终止时</w:t>
      </w:r>
      <w:r>
        <w:rPr>
          <w:rFonts w:ascii="Arial" w:hAnsi="Arial" w:cs="Arial"/>
          <w:kern w:val="0"/>
          <w:szCs w:val="21"/>
        </w:rPr>
        <w:t>)</w:t>
      </w:r>
      <w:r>
        <w:rPr>
          <w:rFonts w:ascii="Arial" w:hAnsi="宋体" w:cs="Arial"/>
          <w:bCs/>
          <w:szCs w:val="21"/>
        </w:rPr>
        <w:t>时止。</w:t>
      </w:r>
    </w:p>
    <w:p w14:paraId="18CB6848">
      <w:pPr>
        <w:spacing w:line="360" w:lineRule="auto"/>
        <w:jc w:val="left"/>
        <w:rPr>
          <w:rFonts w:ascii="Arial" w:hAnsi="Arial" w:cs="Arial"/>
          <w:kern w:val="0"/>
          <w:szCs w:val="21"/>
        </w:rPr>
      </w:pPr>
      <w:r>
        <w:rPr>
          <w:rFonts w:ascii="Arial" w:hAnsi="宋体" w:cs="Arial"/>
          <w:b/>
          <w:kern w:val="0"/>
          <w:szCs w:val="21"/>
        </w:rPr>
        <w:t>第七条</w:t>
      </w:r>
      <w:r>
        <w:rPr>
          <w:rFonts w:ascii="Arial" w:hAnsi="Arial" w:cs="Arial"/>
          <w:kern w:val="0"/>
          <w:szCs w:val="21"/>
        </w:rPr>
        <w:t xml:space="preserve">  </w:t>
      </w:r>
      <w:r>
        <w:rPr>
          <w:rFonts w:ascii="Arial" w:hAnsi="宋体" w:cs="Arial"/>
          <w:kern w:val="0"/>
          <w:szCs w:val="21"/>
        </w:rPr>
        <w:t>本责任书一式</w:t>
      </w:r>
      <w:r>
        <w:rPr>
          <w:rFonts w:hint="eastAsia" w:ascii="Arial" w:hAnsi="宋体" w:cs="Arial"/>
          <w:kern w:val="0"/>
          <w:szCs w:val="21"/>
        </w:rPr>
        <w:t>四</w:t>
      </w:r>
      <w:r>
        <w:rPr>
          <w:rFonts w:ascii="Arial" w:hAnsi="宋体" w:cs="Arial"/>
          <w:kern w:val="0"/>
          <w:szCs w:val="21"/>
        </w:rPr>
        <w:t>份，由甲乙双方各执</w:t>
      </w:r>
      <w:r>
        <w:rPr>
          <w:rFonts w:hint="eastAsia" w:ascii="Arial" w:hAnsi="宋体" w:cs="Arial"/>
          <w:kern w:val="0"/>
          <w:szCs w:val="21"/>
        </w:rPr>
        <w:t>二</w:t>
      </w:r>
      <w:r>
        <w:rPr>
          <w:rFonts w:ascii="Arial" w:hAnsi="宋体" w:cs="Arial"/>
          <w:kern w:val="0"/>
          <w:szCs w:val="21"/>
        </w:rPr>
        <w:t>份。</w:t>
      </w:r>
    </w:p>
    <w:p w14:paraId="04FF8BD9">
      <w:pPr>
        <w:spacing w:line="360" w:lineRule="auto"/>
        <w:ind w:right="151" w:rightChars="72"/>
        <w:rPr>
          <w:rFonts w:ascii="Arial" w:hAnsi="Arial" w:cs="Arial"/>
          <w:bCs/>
          <w:kern w:val="0"/>
          <w:szCs w:val="21"/>
        </w:rPr>
      </w:pPr>
      <w:r>
        <w:rPr>
          <w:rFonts w:ascii="Arial" w:hAnsi="宋体" w:cs="Arial"/>
          <w:bCs/>
          <w:kern w:val="0"/>
          <w:szCs w:val="21"/>
        </w:rPr>
        <w:t>发包人：</w:t>
      </w:r>
      <w:r>
        <w:rPr>
          <w:rFonts w:hint="eastAsia" w:ascii="宋体" w:hAnsi="宋体"/>
          <w:kern w:val="0"/>
          <w:sz w:val="24"/>
          <w:szCs w:val="24"/>
          <w:u w:val="none"/>
          <w:lang w:val="en-US" w:eastAsia="zh-CN"/>
        </w:rPr>
        <w:t>海南寅鼎实业有限公司</w:t>
      </w:r>
      <w:r>
        <w:rPr>
          <w:rFonts w:ascii="Arial" w:hAnsi="Arial" w:cs="Arial"/>
          <w:bCs/>
          <w:kern w:val="0"/>
          <w:szCs w:val="21"/>
        </w:rPr>
        <w:t xml:space="preserve"> </w:t>
      </w:r>
      <w:r>
        <w:rPr>
          <w:rFonts w:hint="eastAsia" w:ascii="Arial" w:hAnsi="Arial" w:cs="Arial"/>
          <w:bCs/>
          <w:kern w:val="0"/>
          <w:szCs w:val="21"/>
        </w:rPr>
        <w:t>（盖章）</w:t>
      </w:r>
      <w:r>
        <w:rPr>
          <w:rFonts w:ascii="Arial" w:hAnsi="Arial" w:cs="Arial"/>
          <w:bCs/>
          <w:kern w:val="0"/>
          <w:szCs w:val="21"/>
        </w:rPr>
        <w:t xml:space="preserve">    </w:t>
      </w:r>
      <w:r>
        <w:rPr>
          <w:rFonts w:ascii="Arial" w:hAnsi="宋体" w:cs="Arial"/>
          <w:bCs/>
          <w:kern w:val="0"/>
          <w:szCs w:val="21"/>
        </w:rPr>
        <w:t>承包人：</w:t>
      </w:r>
      <w:r>
        <w:rPr>
          <w:rFonts w:hint="eastAsia" w:ascii="Arial" w:hAnsi="宋体" w:cs="Arial"/>
          <w:bCs/>
          <w:kern w:val="0"/>
          <w:szCs w:val="21"/>
        </w:rPr>
        <w:t xml:space="preserve"> </w:t>
      </w:r>
      <w:r>
        <w:rPr>
          <w:rFonts w:ascii="Arial" w:hAnsi="宋体" w:cs="Arial"/>
          <w:bCs/>
          <w:kern w:val="0"/>
          <w:szCs w:val="21"/>
        </w:rPr>
        <w:t xml:space="preserve">          </w:t>
      </w:r>
      <w:r>
        <w:rPr>
          <w:rFonts w:hint="eastAsia" w:ascii="Arial" w:hAnsi="Arial" w:cs="Arial"/>
          <w:bCs/>
          <w:kern w:val="0"/>
          <w:szCs w:val="21"/>
        </w:rPr>
        <w:t>（盖章）</w:t>
      </w:r>
    </w:p>
    <w:p w14:paraId="0E6A94DA">
      <w:pPr>
        <w:autoSpaceDE w:val="0"/>
        <w:autoSpaceDN w:val="0"/>
        <w:adjustRightInd w:val="0"/>
        <w:spacing w:before="120" w:after="120" w:line="360" w:lineRule="auto"/>
        <w:ind w:right="151" w:rightChars="72" w:firstLine="420" w:firstLineChars="200"/>
        <w:contextualSpacing/>
        <w:jc w:val="left"/>
        <w:rPr>
          <w:rFonts w:ascii="Arial" w:hAnsi="宋体" w:cs="Arial"/>
          <w:bCs/>
          <w:kern w:val="0"/>
          <w:szCs w:val="21"/>
        </w:rPr>
      </w:pPr>
    </w:p>
    <w:p w14:paraId="1394501C">
      <w:pPr>
        <w:autoSpaceDE w:val="0"/>
        <w:autoSpaceDN w:val="0"/>
        <w:adjustRightInd w:val="0"/>
        <w:spacing w:line="360" w:lineRule="auto"/>
        <w:ind w:right="151" w:rightChars="72" w:firstLine="315" w:firstLineChars="150"/>
        <w:rPr>
          <w:rFonts w:ascii="Arial" w:hAnsi="Arial" w:cs="Arial"/>
          <w:bCs/>
          <w:kern w:val="0"/>
          <w:szCs w:val="21"/>
        </w:rPr>
      </w:pPr>
      <w:r>
        <w:rPr>
          <w:rFonts w:hint="eastAsia" w:ascii="Arial" w:hAnsi="Arial" w:cs="Arial"/>
          <w:bCs/>
          <w:kern w:val="0"/>
          <w:szCs w:val="21"/>
        </w:rPr>
        <w:t>委托</w:t>
      </w:r>
      <w:r>
        <w:rPr>
          <w:rFonts w:ascii="Arial" w:hAnsi="宋体" w:cs="Arial"/>
          <w:bCs/>
          <w:kern w:val="0"/>
          <w:szCs w:val="21"/>
        </w:rPr>
        <w:t>代理人</w:t>
      </w:r>
      <w:r>
        <w:rPr>
          <w:rFonts w:hint="eastAsia" w:ascii="Arial" w:hAnsi="宋体" w:cs="Arial"/>
          <w:bCs/>
          <w:kern w:val="0"/>
          <w:szCs w:val="21"/>
        </w:rPr>
        <w:t>（签字）</w:t>
      </w:r>
      <w:r>
        <w:rPr>
          <w:rFonts w:ascii="Arial" w:hAnsi="宋体" w:cs="Arial"/>
          <w:bCs/>
          <w:kern w:val="0"/>
          <w:szCs w:val="21"/>
        </w:rPr>
        <w:t>：</w:t>
      </w:r>
      <w:r>
        <w:rPr>
          <w:rFonts w:ascii="Arial" w:hAnsi="Arial" w:cs="Arial"/>
          <w:bCs/>
          <w:kern w:val="0"/>
          <w:szCs w:val="21"/>
        </w:rPr>
        <w:t xml:space="preserve">                       </w:t>
      </w:r>
      <w:r>
        <w:rPr>
          <w:rFonts w:ascii="Arial" w:hAnsi="宋体" w:cs="Arial"/>
          <w:bCs/>
          <w:kern w:val="0"/>
          <w:szCs w:val="21"/>
        </w:rPr>
        <w:t>授权代理人</w:t>
      </w:r>
      <w:r>
        <w:rPr>
          <w:rFonts w:hint="eastAsia" w:ascii="Arial" w:hAnsi="宋体" w:cs="Arial"/>
          <w:bCs/>
          <w:kern w:val="0"/>
          <w:szCs w:val="21"/>
        </w:rPr>
        <w:t>（签字）</w:t>
      </w:r>
      <w:r>
        <w:rPr>
          <w:rFonts w:ascii="Arial" w:hAnsi="宋体" w:cs="Arial"/>
          <w:bCs/>
          <w:kern w:val="0"/>
          <w:szCs w:val="21"/>
        </w:rPr>
        <w:t>：</w:t>
      </w:r>
    </w:p>
    <w:p w14:paraId="67D6A2F7">
      <w:pPr>
        <w:autoSpaceDE w:val="0"/>
        <w:autoSpaceDN w:val="0"/>
        <w:adjustRightInd w:val="0"/>
        <w:spacing w:line="360" w:lineRule="auto"/>
        <w:ind w:right="151" w:rightChars="72" w:firstLine="210"/>
        <w:rPr>
          <w:rFonts w:ascii="Arial" w:hAnsi="Arial" w:cs="Arial"/>
          <w:bCs/>
          <w:kern w:val="0"/>
          <w:szCs w:val="21"/>
        </w:rPr>
      </w:pPr>
      <w:r>
        <w:rPr>
          <w:rFonts w:ascii="Arial" w:hAnsi="Arial" w:cs="Arial"/>
          <w:bCs/>
          <w:kern w:val="0"/>
          <w:szCs w:val="21"/>
        </w:rPr>
        <w:t xml:space="preserve">   </w:t>
      </w:r>
    </w:p>
    <w:p w14:paraId="0CFC515B">
      <w:pPr>
        <w:spacing w:line="400" w:lineRule="exact"/>
        <w:ind w:firstLine="420" w:firstLineChars="200"/>
        <w:jc w:val="left"/>
        <w:rPr>
          <w:rFonts w:ascii="宋体" w:hAnsi="宋体"/>
          <w:b/>
          <w:sz w:val="28"/>
          <w:szCs w:val="32"/>
        </w:rPr>
      </w:pPr>
      <w:r>
        <w:rPr>
          <w:rFonts w:ascii="Arial" w:hAnsi="宋体" w:cs="Arial"/>
          <w:bCs/>
          <w:kern w:val="0"/>
          <w:szCs w:val="21"/>
        </w:rPr>
        <w:t>日</w:t>
      </w:r>
      <w:r>
        <w:rPr>
          <w:rFonts w:ascii="Arial" w:hAnsi="Arial" w:cs="Arial"/>
          <w:bCs/>
          <w:kern w:val="0"/>
          <w:szCs w:val="21"/>
        </w:rPr>
        <w:t xml:space="preserve"> </w:t>
      </w:r>
      <w:r>
        <w:rPr>
          <w:rFonts w:ascii="Arial" w:hAnsi="宋体" w:cs="Arial"/>
          <w:bCs/>
          <w:kern w:val="0"/>
          <w:szCs w:val="21"/>
        </w:rPr>
        <w:t>期</w:t>
      </w:r>
      <w:r>
        <w:rPr>
          <w:rFonts w:ascii="Arial" w:hAnsi="Arial" w:cs="Arial"/>
          <w:bCs/>
          <w:kern w:val="0"/>
          <w:szCs w:val="21"/>
        </w:rPr>
        <w:t xml:space="preserve"> </w:t>
      </w:r>
      <w:r>
        <w:rPr>
          <w:rFonts w:ascii="Arial" w:hAnsi="宋体" w:cs="Arial"/>
          <w:bCs/>
          <w:kern w:val="0"/>
          <w:szCs w:val="21"/>
        </w:rPr>
        <w:t>：</w:t>
      </w:r>
      <w:r>
        <w:rPr>
          <w:rFonts w:ascii="Arial" w:hAnsi="Arial" w:cs="Arial"/>
          <w:bCs/>
          <w:kern w:val="0"/>
          <w:szCs w:val="21"/>
        </w:rPr>
        <w:t xml:space="preserve">                                  </w:t>
      </w:r>
      <w:r>
        <w:rPr>
          <w:rFonts w:ascii="Arial" w:hAnsi="宋体" w:cs="Arial"/>
          <w:bCs/>
          <w:kern w:val="0"/>
          <w:szCs w:val="21"/>
        </w:rPr>
        <w:t>日</w:t>
      </w:r>
      <w:r>
        <w:rPr>
          <w:rFonts w:ascii="Arial" w:hAnsi="Arial" w:cs="Arial"/>
          <w:bCs/>
          <w:kern w:val="0"/>
          <w:szCs w:val="21"/>
        </w:rPr>
        <w:t xml:space="preserve"> </w:t>
      </w:r>
      <w:r>
        <w:rPr>
          <w:rFonts w:ascii="Arial" w:hAnsi="宋体" w:cs="Arial"/>
          <w:bCs/>
          <w:kern w:val="0"/>
          <w:szCs w:val="21"/>
        </w:rPr>
        <w:t>期</w:t>
      </w:r>
      <w:r>
        <w:rPr>
          <w:rFonts w:ascii="Arial" w:hAnsi="Arial" w:cs="Arial"/>
          <w:bCs/>
          <w:kern w:val="0"/>
          <w:szCs w:val="21"/>
        </w:rPr>
        <w:t xml:space="preserve"> </w:t>
      </w:r>
      <w:r>
        <w:rPr>
          <w:rFonts w:ascii="Arial" w:hAnsi="宋体" w:cs="Arial"/>
          <w:bCs/>
          <w:kern w:val="0"/>
          <w:szCs w:val="21"/>
        </w:rPr>
        <w:t>：</w:t>
      </w:r>
    </w:p>
    <w:p w14:paraId="1A885140">
      <w:pPr>
        <w:spacing w:line="400" w:lineRule="exact"/>
        <w:jc w:val="center"/>
        <w:rPr>
          <w:rFonts w:ascii="宋体" w:hAnsi="宋体"/>
          <w:b/>
          <w:sz w:val="32"/>
          <w:szCs w:val="32"/>
          <w:shd w:val="pct10" w:color="auto" w:fill="FFFFFF"/>
        </w:rPr>
      </w:pPr>
    </w:p>
    <w:p w14:paraId="7593906D">
      <w:pPr>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b/>
          <w:sz w:val="28"/>
          <w:szCs w:val="32"/>
        </w:rPr>
      </w:pPr>
    </w:p>
    <w:p w14:paraId="6C4BA4A8">
      <w:pPr>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b/>
          <w:sz w:val="28"/>
          <w:szCs w:val="32"/>
        </w:rPr>
      </w:pPr>
    </w:p>
    <w:p w14:paraId="00F900E3">
      <w:pPr>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b/>
          <w:sz w:val="28"/>
          <w:szCs w:val="32"/>
        </w:rPr>
      </w:pPr>
    </w:p>
    <w:p w14:paraId="6C92783A">
      <w:pPr>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b/>
          <w:sz w:val="28"/>
          <w:szCs w:val="32"/>
        </w:rPr>
      </w:pPr>
    </w:p>
    <w:p w14:paraId="6BFB0EEB">
      <w:pPr>
        <w:pStyle w:val="51"/>
        <w:tabs>
          <w:tab w:val="clear" w:pos="4032"/>
        </w:tabs>
        <w:ind w:left="0" w:firstLine="0"/>
        <w:jc w:val="both"/>
        <w:rPr>
          <w:highlight w:val="lightGray"/>
        </w:rPr>
      </w:pPr>
      <w:r>
        <w:rPr>
          <w:rFonts w:hint="eastAsia"/>
          <w:highlight w:val="lightGray"/>
        </w:rPr>
        <w:t>第四章投标文件范本</w:t>
      </w:r>
    </w:p>
    <w:p w14:paraId="3DBA8A16">
      <w:pPr>
        <w:spacing w:line="400" w:lineRule="exact"/>
        <w:rPr>
          <w:rFonts w:ascii="宋体" w:hAnsi="宋体"/>
          <w:b/>
          <w:sz w:val="24"/>
          <w:szCs w:val="24"/>
          <w:highlight w:val="none"/>
        </w:rPr>
      </w:pPr>
      <w:r>
        <w:rPr>
          <w:rFonts w:hint="eastAsia" w:ascii="宋体" w:hAnsi="宋体"/>
          <w:b/>
          <w:sz w:val="24"/>
          <w:szCs w:val="24"/>
          <w:highlight w:val="none"/>
        </w:rPr>
        <w:t>一</w:t>
      </w:r>
      <w:r>
        <w:rPr>
          <w:rFonts w:ascii="宋体" w:hAnsi="宋体"/>
          <w:b/>
          <w:sz w:val="24"/>
          <w:szCs w:val="24"/>
          <w:highlight w:val="none"/>
        </w:rPr>
        <w:t>、</w:t>
      </w:r>
      <w:r>
        <w:rPr>
          <w:rFonts w:hint="eastAsia" w:ascii="宋体" w:hAnsi="宋体"/>
          <w:b/>
          <w:sz w:val="24"/>
          <w:szCs w:val="24"/>
          <w:highlight w:val="none"/>
        </w:rPr>
        <w:t>投标函范本</w:t>
      </w:r>
    </w:p>
    <w:p w14:paraId="02B9B488">
      <w:pPr>
        <w:spacing w:line="400" w:lineRule="exact"/>
        <w:jc w:val="center"/>
        <w:rPr>
          <w:rFonts w:ascii="宋体" w:hAnsi="宋体"/>
          <w:b/>
          <w:sz w:val="28"/>
          <w:szCs w:val="28"/>
          <w:highlight w:val="none"/>
        </w:rPr>
      </w:pPr>
      <w:r>
        <w:rPr>
          <w:rFonts w:hint="eastAsia" w:ascii="宋体" w:hAnsi="宋体"/>
          <w:b/>
          <w:sz w:val="28"/>
          <w:szCs w:val="28"/>
          <w:highlight w:val="none"/>
        </w:rPr>
        <w:t>投标函</w:t>
      </w:r>
    </w:p>
    <w:p w14:paraId="2C94359C">
      <w:pPr>
        <w:spacing w:line="400" w:lineRule="exact"/>
        <w:rPr>
          <w:rFonts w:ascii="宋体" w:hAnsi="宋体"/>
          <w:szCs w:val="21"/>
          <w:highlight w:val="none"/>
        </w:rPr>
      </w:pPr>
      <w:r>
        <w:rPr>
          <w:rFonts w:hint="eastAsia" w:ascii="宋体" w:hAnsi="宋体"/>
          <w:szCs w:val="21"/>
          <w:highlight w:val="none"/>
        </w:rPr>
        <w:t>致：</w:t>
      </w:r>
      <w:r>
        <w:rPr>
          <w:rFonts w:hint="eastAsia" w:ascii="宋体" w:hAnsi="宋体"/>
          <w:kern w:val="0"/>
          <w:sz w:val="24"/>
          <w:szCs w:val="24"/>
          <w:highlight w:val="none"/>
          <w:u w:val="none"/>
          <w:lang w:val="en-US" w:eastAsia="zh-CN"/>
        </w:rPr>
        <w:t>海南寅鼎实业有限公司</w:t>
      </w:r>
    </w:p>
    <w:p w14:paraId="1F281B3B">
      <w:pPr>
        <w:spacing w:line="400" w:lineRule="exact"/>
        <w:ind w:firstLine="420" w:firstLineChars="200"/>
        <w:rPr>
          <w:rFonts w:ascii="宋体" w:hAnsi="宋体"/>
          <w:szCs w:val="21"/>
          <w:highlight w:val="none"/>
        </w:rPr>
      </w:pPr>
      <w:r>
        <w:rPr>
          <w:rFonts w:hint="eastAsia" w:ascii="宋体" w:hAnsi="宋体"/>
          <w:szCs w:val="21"/>
          <w:highlight w:val="none"/>
        </w:rPr>
        <w:t>我方已全面阅读和研究了邀标文件，充分理解了本</w:t>
      </w:r>
      <w:r>
        <w:rPr>
          <w:rFonts w:hint="eastAsia" w:ascii="宋体" w:hAnsi="宋体"/>
          <w:szCs w:val="21"/>
          <w:highlight w:val="none"/>
          <w:lang w:val="en-US" w:eastAsia="zh-CN"/>
        </w:rPr>
        <w:t>项目</w:t>
      </w:r>
      <w:r>
        <w:rPr>
          <w:rFonts w:hint="eastAsia" w:ascii="宋体" w:hAnsi="宋体"/>
          <w:szCs w:val="21"/>
          <w:highlight w:val="none"/>
        </w:rPr>
        <w:t>邀标的相关情况。现经我方认真分析研究及现场查勘、考察，同意接受邀标文件的全部内容和条件，并按此确定本工程投标的要约内容，以本投标文件向你方发包的全部内容进行投标。</w:t>
      </w:r>
    </w:p>
    <w:p w14:paraId="636A562A">
      <w:pPr>
        <w:spacing w:line="400" w:lineRule="exact"/>
        <w:rPr>
          <w:rFonts w:ascii="宋体" w:hAnsi="宋体"/>
          <w:szCs w:val="21"/>
          <w:highlight w:val="none"/>
        </w:rPr>
      </w:pPr>
      <w:r>
        <w:rPr>
          <w:rFonts w:hint="eastAsia" w:ascii="宋体" w:hAnsi="宋体"/>
          <w:szCs w:val="21"/>
          <w:highlight w:val="none"/>
        </w:rPr>
        <w:t>1、投标报价：详《投标报价表》</w:t>
      </w:r>
    </w:p>
    <w:p w14:paraId="2AA14A83">
      <w:pPr>
        <w:spacing w:line="400" w:lineRule="exact"/>
        <w:rPr>
          <w:rFonts w:ascii="宋体" w:hAnsi="宋体"/>
          <w:szCs w:val="21"/>
          <w:highlight w:val="none"/>
        </w:rPr>
      </w:pPr>
      <w:r>
        <w:rPr>
          <w:rFonts w:hint="eastAsia" w:ascii="宋体" w:hAnsi="宋体"/>
          <w:szCs w:val="21"/>
          <w:highlight w:val="none"/>
        </w:rPr>
        <w:t>2、付款方式：</w:t>
      </w:r>
    </w:p>
    <w:p w14:paraId="21DDD633">
      <w:pPr>
        <w:spacing w:line="400" w:lineRule="exact"/>
        <w:rPr>
          <w:rFonts w:ascii="宋体" w:hAnsi="宋体"/>
          <w:szCs w:val="21"/>
          <w:highlight w:val="none"/>
        </w:rPr>
      </w:pPr>
      <w:r>
        <w:rPr>
          <w:rFonts w:hint="eastAsia" w:ascii="宋体" w:hAnsi="宋体"/>
          <w:szCs w:val="21"/>
          <w:highlight w:val="none"/>
        </w:rPr>
        <w:t>1、乙方每月</w:t>
      </w:r>
      <w:r>
        <w:rPr>
          <w:rFonts w:hint="eastAsia" w:ascii="宋体" w:hAnsi="宋体"/>
          <w:szCs w:val="21"/>
          <w:highlight w:val="none"/>
          <w:lang w:val="en-US" w:eastAsia="zh-CN"/>
        </w:rPr>
        <w:t>开具售电发票后15日内</w:t>
      </w:r>
      <w:r>
        <w:rPr>
          <w:rFonts w:hint="eastAsia" w:ascii="宋体" w:hAnsi="宋体"/>
          <w:szCs w:val="21"/>
          <w:highlight w:val="none"/>
        </w:rPr>
        <w:t>支付乙方上月</w:t>
      </w:r>
      <w:r>
        <w:rPr>
          <w:rFonts w:hint="eastAsia" w:ascii="宋体" w:hAnsi="宋体"/>
          <w:szCs w:val="21"/>
          <w:highlight w:val="none"/>
          <w:lang w:val="en-US" w:eastAsia="zh-CN"/>
        </w:rPr>
        <w:t>费用</w:t>
      </w:r>
      <w:r>
        <w:rPr>
          <w:rFonts w:hint="eastAsia" w:ascii="宋体" w:hAnsi="宋体"/>
          <w:szCs w:val="21"/>
          <w:highlight w:val="none"/>
        </w:rPr>
        <w:t>。</w:t>
      </w:r>
    </w:p>
    <w:p w14:paraId="3ECA4E75">
      <w:pPr>
        <w:spacing w:line="400" w:lineRule="exact"/>
        <w:rPr>
          <w:rFonts w:hint="eastAsia" w:ascii="宋体" w:hAnsi="宋体" w:eastAsia="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合同期限</w:t>
      </w:r>
      <w:r>
        <w:rPr>
          <w:rFonts w:hint="eastAsia" w:ascii="宋体" w:hAnsi="宋体"/>
          <w:szCs w:val="21"/>
          <w:highlight w:val="none"/>
        </w:rPr>
        <w:t>：自进场起开始计算共计</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w:t>
      </w:r>
      <w:r>
        <w:rPr>
          <w:rFonts w:hint="eastAsia" w:ascii="宋体" w:hAnsi="宋体"/>
          <w:szCs w:val="21"/>
          <w:highlight w:val="none"/>
          <w:u w:val="single"/>
        </w:rPr>
        <w:t xml:space="preserve">   </w:t>
      </w:r>
      <w:r>
        <w:rPr>
          <w:rFonts w:hint="eastAsia" w:ascii="宋体" w:hAnsi="宋体"/>
          <w:szCs w:val="21"/>
          <w:highlight w:val="none"/>
          <w:lang w:val="en-US" w:eastAsia="zh-CN"/>
        </w:rPr>
        <w:t>年</w:t>
      </w:r>
    </w:p>
    <w:p w14:paraId="6560FBC8">
      <w:pPr>
        <w:spacing w:line="40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、投标报价说明：</w:t>
      </w:r>
    </w:p>
    <w:p w14:paraId="456EA1D8">
      <w:pPr>
        <w:spacing w:line="400" w:lineRule="exact"/>
        <w:rPr>
          <w:rFonts w:ascii="宋体" w:hAnsi="宋体"/>
          <w:szCs w:val="21"/>
          <w:highlight w:val="none"/>
        </w:rPr>
      </w:pPr>
      <w:r>
        <w:rPr>
          <w:rFonts w:hint="eastAsia" w:ascii="宋体" w:hAnsi="宋体"/>
          <w:szCs w:val="18"/>
          <w:highlight w:val="none"/>
        </w:rPr>
        <w:t>1</w:t>
      </w:r>
      <w:r>
        <w:rPr>
          <w:rFonts w:hint="eastAsia" w:ascii="宋体" w:hAnsi="宋体"/>
          <w:szCs w:val="21"/>
          <w:highlight w:val="none"/>
        </w:rPr>
        <w:t>）提供增值税专用发票（税率</w:t>
      </w:r>
      <w:r>
        <w:rPr>
          <w:rFonts w:hint="eastAsia" w:ascii="宋体" w:hAnsi="宋体"/>
          <w:b/>
          <w:szCs w:val="21"/>
          <w:highlight w:val="none"/>
          <w:u w:val="single"/>
        </w:rPr>
        <w:t xml:space="preserve"> </w:t>
      </w:r>
      <w:r>
        <w:rPr>
          <w:rFonts w:hint="eastAsia" w:ascii="宋体" w:hAnsi="宋体"/>
          <w:b/>
          <w:szCs w:val="21"/>
          <w:highlight w:val="none"/>
          <w:u w:val="single"/>
          <w:lang w:val="en-US" w:eastAsia="zh-CN"/>
        </w:rPr>
        <w:t>9</w:t>
      </w:r>
      <w:r>
        <w:rPr>
          <w:rFonts w:hint="eastAsia" w:ascii="宋体" w:hAnsi="宋体"/>
          <w:b/>
          <w:szCs w:val="21"/>
          <w:highlight w:val="none"/>
          <w:u w:val="single"/>
        </w:rPr>
        <w:t xml:space="preserve">% </w:t>
      </w:r>
      <w:r>
        <w:rPr>
          <w:rFonts w:hint="eastAsia" w:ascii="宋体" w:hAnsi="宋体"/>
          <w:szCs w:val="21"/>
          <w:highlight w:val="none"/>
        </w:rPr>
        <w:t>）</w:t>
      </w:r>
    </w:p>
    <w:p w14:paraId="716EA29D">
      <w:pPr>
        <w:spacing w:line="400" w:lineRule="exact"/>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我方已考虑各类市场风险和国家、行业政策性调整风险系数，并包含全部承包范围及工作内容，全费用包干单价中所含费用如有漏报视为我方让利，除邀标人出具的书面变更外，合同执行期间，不另行增加任何本工程承包价款范围之外的费用，合同价格也不作任何调整，否则邀标人有权拒绝支付合同价款以外的任何费用，此部分费用全部由我方自行承担。</w:t>
      </w:r>
    </w:p>
    <w:p w14:paraId="04CA381F">
      <w:pPr>
        <w:spacing w:line="400" w:lineRule="exact"/>
        <w:rPr>
          <w:rFonts w:ascii="宋体" w:hAnsi="宋体"/>
          <w:b/>
          <w:szCs w:val="21"/>
          <w:highlight w:val="none"/>
        </w:rPr>
      </w:pPr>
    </w:p>
    <w:p w14:paraId="28A485B9">
      <w:pPr>
        <w:spacing w:line="400" w:lineRule="exact"/>
        <w:rPr>
          <w:rFonts w:ascii="宋体" w:hAnsi="宋体"/>
          <w:szCs w:val="21"/>
          <w:highlight w:val="none"/>
        </w:rPr>
      </w:pPr>
      <w:r>
        <w:rPr>
          <w:rFonts w:hint="eastAsia" w:ascii="宋体" w:hAnsi="宋体"/>
          <w:b/>
          <w:szCs w:val="21"/>
          <w:highlight w:val="none"/>
        </w:rPr>
        <w:t>我方郑重承诺：</w:t>
      </w:r>
    </w:p>
    <w:p w14:paraId="64019E6F">
      <w:pPr>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将严格按照有关邀标投标法规及邀标文件规定参加投标，并理解你方不一定接受最低报价的投标，对定标结果也没有解释的义务。如我方中标将严格按双方协商一致的中标条件与贵方签订合同，履行规定的一切责任和义务。</w:t>
      </w:r>
    </w:p>
    <w:p w14:paraId="4447D51C">
      <w:pPr>
        <w:spacing w:line="40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、遵照邀标文件的要求承担本项目的实施、完成及其缺陷修复工作。</w:t>
      </w:r>
    </w:p>
    <w:p w14:paraId="50C314C0">
      <w:pPr>
        <w:spacing w:line="400" w:lineRule="exact"/>
        <w:rPr>
          <w:rFonts w:ascii="宋体" w:hAnsi="宋体"/>
          <w:szCs w:val="21"/>
          <w:highlight w:val="none"/>
        </w:rPr>
      </w:pPr>
      <w:r>
        <w:rPr>
          <w:rFonts w:ascii="宋体" w:hAnsi="宋体"/>
          <w:szCs w:val="21"/>
          <w:highlight w:val="none"/>
        </w:rPr>
        <w:t>3</w:t>
      </w:r>
      <w:r>
        <w:rPr>
          <w:rFonts w:hint="eastAsia" w:ascii="宋体" w:hAnsi="宋体"/>
          <w:szCs w:val="21"/>
          <w:highlight w:val="none"/>
        </w:rPr>
        <w:t>、我方自行承担此次邀标的全部费用。</w:t>
      </w:r>
    </w:p>
    <w:p w14:paraId="21BE8FA4">
      <w:pPr>
        <w:spacing w:line="400" w:lineRule="exact"/>
        <w:rPr>
          <w:rFonts w:ascii="宋体" w:hAnsi="宋体"/>
          <w:szCs w:val="21"/>
          <w:highlight w:val="none"/>
        </w:rPr>
      </w:pPr>
      <w:r>
        <w:rPr>
          <w:rFonts w:ascii="宋体" w:hAnsi="宋体"/>
          <w:szCs w:val="21"/>
          <w:highlight w:val="none"/>
        </w:rPr>
        <w:t>4</w:t>
      </w:r>
      <w:r>
        <w:rPr>
          <w:rFonts w:hint="eastAsia" w:ascii="宋体" w:hAnsi="宋体"/>
          <w:szCs w:val="21"/>
          <w:highlight w:val="none"/>
        </w:rPr>
        <w:t>、本投标书发出后，即对我方产生约束力，我方保证严格遵守本投标书的各项承诺。如违反上述承诺和国家法律法规和地方规章造成损失，概由我方承担全部责任。</w:t>
      </w:r>
    </w:p>
    <w:p w14:paraId="378B2B74">
      <w:pPr>
        <w:spacing w:line="400" w:lineRule="exact"/>
        <w:rPr>
          <w:rFonts w:ascii="宋体" w:hAnsi="宋体"/>
          <w:szCs w:val="21"/>
          <w:highlight w:val="none"/>
        </w:rPr>
      </w:pPr>
      <w:r>
        <w:rPr>
          <w:rFonts w:ascii="宋体" w:hAnsi="宋体"/>
          <w:szCs w:val="21"/>
          <w:highlight w:val="none"/>
        </w:rPr>
        <w:t>5</w:t>
      </w:r>
      <w:r>
        <w:rPr>
          <w:rFonts w:hint="eastAsia" w:ascii="宋体" w:hAnsi="宋体"/>
          <w:szCs w:val="21"/>
          <w:highlight w:val="none"/>
        </w:rPr>
        <w:t>、我方投标报价是以邀标人确定邀标范围、内容及要求作为依据，为标的验收合格以及质量保证期限的最终优惠价格。包括了本邀标文件上规定的邀标范围、工期要求及进行和完成本合同所必须的和为克服困难所发生的所有税费及人工价格、材料价格、政府收费变化的价格波动风险的全部费用（邀标</w:t>
      </w:r>
      <w:r>
        <w:rPr>
          <w:rFonts w:ascii="宋体" w:hAnsi="宋体"/>
          <w:szCs w:val="21"/>
          <w:highlight w:val="none"/>
        </w:rPr>
        <w:t>文件明确约定可调部分</w:t>
      </w:r>
      <w:r>
        <w:rPr>
          <w:rFonts w:hint="eastAsia" w:ascii="宋体" w:hAnsi="宋体"/>
          <w:szCs w:val="21"/>
          <w:highlight w:val="none"/>
        </w:rPr>
        <w:t>除外）；如邀标文件与图纸有出入，以图纸数量为准，如有漏报处，视为投标单位让利，一旦中标，不予调增。我方不以任何理由或其他名义计取其他费用或以任何理由予以重复计费。如出现工程量、单价、总价的计算错误，邀标人有权按有利于邀标人的原则理解。</w:t>
      </w:r>
    </w:p>
    <w:p w14:paraId="3752D4B9">
      <w:pPr>
        <w:spacing w:line="400" w:lineRule="exact"/>
        <w:rPr>
          <w:rFonts w:ascii="宋体" w:hAnsi="宋体"/>
          <w:szCs w:val="21"/>
          <w:highlight w:val="none"/>
        </w:rPr>
      </w:pPr>
      <w:r>
        <w:rPr>
          <w:rFonts w:ascii="宋体" w:hAnsi="宋体"/>
          <w:szCs w:val="21"/>
          <w:highlight w:val="none"/>
        </w:rPr>
        <w:t>6</w:t>
      </w:r>
      <w:r>
        <w:rPr>
          <w:rFonts w:hint="eastAsia" w:ascii="宋体" w:hAnsi="宋体"/>
          <w:szCs w:val="21"/>
          <w:highlight w:val="none"/>
        </w:rPr>
        <w:t>、报价时已充分了解工地的地理位置、储存空间、装卸限制及其他任何可能影响投标报价的因素，如出现任何因忽视或误解现场情况、现有资料的情况，所有费用及责任由我方全部承担。</w:t>
      </w:r>
    </w:p>
    <w:p w14:paraId="4D9458FB">
      <w:pPr>
        <w:spacing w:line="400" w:lineRule="exact"/>
        <w:rPr>
          <w:rFonts w:ascii="宋体" w:hAnsi="宋体"/>
          <w:szCs w:val="21"/>
          <w:highlight w:val="none"/>
        </w:rPr>
      </w:pPr>
    </w:p>
    <w:p w14:paraId="6C02C192">
      <w:pPr>
        <w:wordWrap w:val="0"/>
        <w:spacing w:line="480" w:lineRule="auto"/>
        <w:ind w:right="420"/>
        <w:jc w:val="center"/>
        <w:rPr>
          <w:rFonts w:ascii="宋体" w:hAnsi="宋体"/>
          <w:szCs w:val="21"/>
          <w:highlight w:val="none"/>
        </w:rPr>
      </w:pPr>
      <w:r>
        <w:rPr>
          <w:rFonts w:hint="eastAsia" w:ascii="宋体" w:hAnsi="宋体"/>
          <w:szCs w:val="21"/>
          <w:highlight w:val="none"/>
        </w:rPr>
        <w:t>投标人：（盖单位章）</w:t>
      </w:r>
    </w:p>
    <w:p w14:paraId="24BC27E1">
      <w:pPr>
        <w:wordWrap w:val="0"/>
        <w:spacing w:line="480" w:lineRule="auto"/>
        <w:ind w:right="420"/>
        <w:jc w:val="center"/>
        <w:rPr>
          <w:rFonts w:ascii="宋体" w:hAnsi="宋体"/>
          <w:szCs w:val="21"/>
          <w:highlight w:val="none"/>
        </w:rPr>
      </w:pPr>
      <w:r>
        <w:rPr>
          <w:rFonts w:hint="eastAsia" w:ascii="宋体" w:hAnsi="宋体"/>
          <w:szCs w:val="21"/>
          <w:highlight w:val="none"/>
        </w:rPr>
        <w:t>法定代表人：（签字）</w:t>
      </w:r>
    </w:p>
    <w:p w14:paraId="034ACBB1">
      <w:pPr>
        <w:wordWrap w:val="0"/>
        <w:spacing w:line="480" w:lineRule="auto"/>
        <w:ind w:right="420"/>
        <w:jc w:val="center"/>
        <w:rPr>
          <w:rFonts w:ascii="宋体" w:hAnsi="宋体"/>
          <w:szCs w:val="21"/>
          <w:highlight w:val="none"/>
        </w:rPr>
      </w:pPr>
      <w:r>
        <w:rPr>
          <w:rFonts w:hint="eastAsia" w:ascii="宋体" w:hAnsi="宋体"/>
          <w:szCs w:val="21"/>
          <w:highlight w:val="none"/>
        </w:rPr>
        <w:t>委托代理人：（签字）</w:t>
      </w:r>
    </w:p>
    <w:p w14:paraId="452511F8">
      <w:pPr>
        <w:wordWrap w:val="0"/>
        <w:spacing w:line="480" w:lineRule="auto"/>
        <w:ind w:right="735"/>
        <w:jc w:val="right"/>
        <w:rPr>
          <w:rFonts w:ascii="宋体" w:hAnsi="宋体"/>
          <w:szCs w:val="21"/>
          <w:highlight w:val="none"/>
        </w:rPr>
      </w:pPr>
      <w:r>
        <w:rPr>
          <w:rFonts w:hint="eastAsia" w:ascii="宋体" w:hAnsi="宋体"/>
          <w:szCs w:val="21"/>
          <w:highlight w:val="none"/>
        </w:rPr>
        <w:t>年  月  日</w:t>
      </w:r>
    </w:p>
    <w:p w14:paraId="41210810">
      <w:pPr>
        <w:spacing w:line="400" w:lineRule="exact"/>
        <w:rPr>
          <w:rFonts w:hint="eastAsia" w:ascii="宋体" w:hAnsi="宋体"/>
          <w:b/>
          <w:sz w:val="24"/>
          <w:szCs w:val="24"/>
          <w:highlight w:val="yellow"/>
        </w:rPr>
      </w:pPr>
      <w:bookmarkStart w:id="109" w:name="_Toc181968703"/>
    </w:p>
    <w:p w14:paraId="484085F6">
      <w:pPr>
        <w:spacing w:line="400" w:lineRule="exact"/>
        <w:rPr>
          <w:rFonts w:hint="eastAsia" w:ascii="宋体" w:hAnsi="宋体"/>
          <w:b/>
          <w:sz w:val="24"/>
          <w:szCs w:val="24"/>
          <w:highlight w:val="yellow"/>
        </w:rPr>
      </w:pPr>
    </w:p>
    <w:p w14:paraId="369576D8">
      <w:pPr>
        <w:spacing w:line="400" w:lineRule="exact"/>
        <w:rPr>
          <w:rFonts w:hint="eastAsia" w:ascii="宋体" w:hAnsi="宋体"/>
          <w:b/>
          <w:sz w:val="24"/>
          <w:szCs w:val="24"/>
        </w:rPr>
      </w:pPr>
    </w:p>
    <w:p w14:paraId="0D806F13">
      <w:pPr>
        <w:spacing w:line="400" w:lineRule="exact"/>
        <w:rPr>
          <w:rFonts w:hint="eastAsia" w:ascii="宋体" w:hAnsi="宋体"/>
          <w:b/>
          <w:sz w:val="24"/>
          <w:szCs w:val="24"/>
        </w:rPr>
      </w:pPr>
    </w:p>
    <w:p w14:paraId="1FEFDF3E">
      <w:pPr>
        <w:spacing w:line="400" w:lineRule="exact"/>
        <w:rPr>
          <w:rFonts w:hint="eastAsia" w:ascii="宋体" w:hAnsi="宋体"/>
          <w:b/>
          <w:sz w:val="24"/>
          <w:szCs w:val="24"/>
        </w:rPr>
      </w:pPr>
    </w:p>
    <w:p w14:paraId="57614D0A">
      <w:pPr>
        <w:spacing w:line="400" w:lineRule="exact"/>
        <w:rPr>
          <w:rFonts w:hint="eastAsia" w:ascii="宋体" w:hAnsi="宋体"/>
          <w:b/>
          <w:sz w:val="24"/>
          <w:szCs w:val="24"/>
        </w:rPr>
      </w:pPr>
    </w:p>
    <w:p w14:paraId="53CEB7FF">
      <w:pPr>
        <w:spacing w:line="400" w:lineRule="exact"/>
        <w:rPr>
          <w:rFonts w:hint="eastAsia" w:ascii="宋体" w:hAnsi="宋体"/>
          <w:b/>
          <w:sz w:val="24"/>
          <w:szCs w:val="24"/>
        </w:rPr>
      </w:pPr>
    </w:p>
    <w:p w14:paraId="495C4795">
      <w:pPr>
        <w:spacing w:line="400" w:lineRule="exact"/>
        <w:rPr>
          <w:rFonts w:hint="eastAsia" w:ascii="宋体" w:hAnsi="宋体"/>
          <w:b/>
          <w:sz w:val="24"/>
          <w:szCs w:val="24"/>
        </w:rPr>
      </w:pPr>
    </w:p>
    <w:p w14:paraId="2DAEAB1A">
      <w:pPr>
        <w:spacing w:line="400" w:lineRule="exact"/>
        <w:rPr>
          <w:rFonts w:hint="eastAsia" w:ascii="宋体" w:hAnsi="宋体"/>
          <w:b/>
          <w:sz w:val="24"/>
          <w:szCs w:val="24"/>
        </w:rPr>
      </w:pPr>
    </w:p>
    <w:p w14:paraId="620CEDE3">
      <w:pPr>
        <w:spacing w:line="400" w:lineRule="exact"/>
        <w:rPr>
          <w:rFonts w:hint="eastAsia" w:ascii="宋体" w:hAnsi="宋体"/>
          <w:b/>
          <w:sz w:val="24"/>
          <w:szCs w:val="24"/>
        </w:rPr>
      </w:pPr>
    </w:p>
    <w:p w14:paraId="573F6B0E">
      <w:pPr>
        <w:spacing w:line="400" w:lineRule="exact"/>
        <w:rPr>
          <w:rFonts w:hint="eastAsia" w:ascii="宋体" w:hAnsi="宋体"/>
          <w:b/>
          <w:sz w:val="24"/>
          <w:szCs w:val="24"/>
        </w:rPr>
      </w:pPr>
    </w:p>
    <w:p w14:paraId="6B30BC58">
      <w:pPr>
        <w:spacing w:line="400" w:lineRule="exact"/>
        <w:rPr>
          <w:rFonts w:hint="eastAsia" w:ascii="宋体" w:hAnsi="宋体"/>
          <w:b/>
          <w:sz w:val="24"/>
          <w:szCs w:val="24"/>
        </w:rPr>
      </w:pPr>
    </w:p>
    <w:p w14:paraId="153A1956">
      <w:pPr>
        <w:spacing w:line="400" w:lineRule="exact"/>
        <w:rPr>
          <w:rFonts w:hint="eastAsia" w:ascii="宋体" w:hAnsi="宋体"/>
          <w:b/>
          <w:sz w:val="24"/>
          <w:szCs w:val="24"/>
        </w:rPr>
      </w:pPr>
    </w:p>
    <w:p w14:paraId="3CE5BA56">
      <w:pPr>
        <w:rPr>
          <w:rFonts w:hint="eastAsia" w:ascii="宋体" w:hAnsi="宋体"/>
          <w:b/>
          <w:sz w:val="24"/>
          <w:szCs w:val="24"/>
        </w:rPr>
      </w:pPr>
    </w:p>
    <w:p w14:paraId="2C6C70E6">
      <w:pPr>
        <w:rPr>
          <w:rFonts w:hint="eastAsia" w:ascii="宋体" w:hAnsi="宋体"/>
          <w:b/>
          <w:sz w:val="24"/>
          <w:szCs w:val="24"/>
        </w:rPr>
      </w:pPr>
    </w:p>
    <w:p w14:paraId="3107B23F">
      <w:pPr>
        <w:rPr>
          <w:rFonts w:hint="eastAsia" w:ascii="宋体" w:hAnsi="宋体"/>
          <w:b/>
          <w:sz w:val="24"/>
          <w:szCs w:val="24"/>
        </w:rPr>
      </w:pPr>
    </w:p>
    <w:p w14:paraId="3C2811CC">
      <w:pPr>
        <w:rPr>
          <w:rFonts w:hint="eastAsia" w:ascii="宋体" w:hAnsi="宋体"/>
          <w:b/>
          <w:sz w:val="24"/>
          <w:szCs w:val="24"/>
        </w:rPr>
      </w:pPr>
    </w:p>
    <w:p w14:paraId="03BC51B9">
      <w:pPr>
        <w:rPr>
          <w:rFonts w:hint="eastAsia" w:ascii="宋体" w:hAnsi="宋体"/>
          <w:b/>
          <w:sz w:val="24"/>
          <w:szCs w:val="24"/>
        </w:rPr>
      </w:pPr>
    </w:p>
    <w:p w14:paraId="1323C916">
      <w:pPr>
        <w:rPr>
          <w:rFonts w:hint="eastAsia" w:ascii="宋体" w:hAnsi="宋体"/>
          <w:b/>
          <w:sz w:val="24"/>
          <w:szCs w:val="24"/>
        </w:rPr>
      </w:pPr>
    </w:p>
    <w:p w14:paraId="38CC6B3E">
      <w:pPr>
        <w:rPr>
          <w:rFonts w:hint="eastAsia" w:ascii="宋体" w:hAnsi="宋体"/>
          <w:b/>
          <w:sz w:val="24"/>
          <w:szCs w:val="24"/>
        </w:rPr>
      </w:pPr>
    </w:p>
    <w:p w14:paraId="2257C02A">
      <w:pPr>
        <w:rPr>
          <w:rFonts w:hint="eastAsia" w:ascii="宋体" w:hAnsi="宋体"/>
          <w:b/>
          <w:sz w:val="24"/>
          <w:szCs w:val="24"/>
        </w:rPr>
      </w:pPr>
    </w:p>
    <w:p w14:paraId="0B949DFB">
      <w:pPr>
        <w:rPr>
          <w:rFonts w:hint="eastAsia" w:ascii="宋体" w:hAnsi="宋体"/>
          <w:b/>
          <w:sz w:val="24"/>
          <w:szCs w:val="24"/>
        </w:rPr>
      </w:pPr>
    </w:p>
    <w:p w14:paraId="4175DB49">
      <w:pPr>
        <w:rPr>
          <w:rFonts w:hint="eastAsia" w:ascii="宋体" w:hAnsi="宋体"/>
          <w:b/>
          <w:sz w:val="24"/>
          <w:szCs w:val="24"/>
        </w:rPr>
      </w:pPr>
    </w:p>
    <w:p w14:paraId="1EAD2D89">
      <w:pPr>
        <w:rPr>
          <w:rFonts w:hint="eastAsia" w:ascii="宋体" w:hAnsi="宋体"/>
          <w:b/>
          <w:sz w:val="24"/>
          <w:szCs w:val="24"/>
        </w:rPr>
      </w:pPr>
    </w:p>
    <w:p w14:paraId="7FD22D9D">
      <w:pPr>
        <w:rPr>
          <w:rFonts w:hint="eastAsia" w:ascii="宋体" w:hAnsi="宋体"/>
          <w:b/>
          <w:sz w:val="24"/>
          <w:szCs w:val="24"/>
        </w:rPr>
      </w:pPr>
    </w:p>
    <w:p w14:paraId="47147D79">
      <w:pPr>
        <w:rPr>
          <w:rFonts w:hint="eastAsia" w:ascii="宋体" w:hAnsi="宋体"/>
          <w:b/>
          <w:sz w:val="24"/>
          <w:szCs w:val="24"/>
        </w:rPr>
      </w:pPr>
    </w:p>
    <w:p w14:paraId="6B44AAC7">
      <w:pPr>
        <w:rPr>
          <w:rFonts w:hint="eastAsia" w:ascii="宋体" w:hAnsi="宋体"/>
          <w:b/>
          <w:sz w:val="24"/>
          <w:szCs w:val="24"/>
        </w:rPr>
      </w:pPr>
    </w:p>
    <w:p w14:paraId="560444F8">
      <w:pPr>
        <w:rPr>
          <w:rFonts w:hint="eastAsia" w:ascii="宋体" w:hAnsi="宋体"/>
          <w:b/>
          <w:sz w:val="24"/>
          <w:szCs w:val="24"/>
        </w:rPr>
      </w:pPr>
    </w:p>
    <w:p w14:paraId="5F898A6D">
      <w:pPr>
        <w:rPr>
          <w:rFonts w:hint="eastAsia" w:ascii="宋体" w:hAnsi="宋体"/>
          <w:b/>
          <w:sz w:val="24"/>
          <w:szCs w:val="24"/>
        </w:rPr>
      </w:pPr>
    </w:p>
    <w:p w14:paraId="4E5FC28B">
      <w:pPr>
        <w:rPr>
          <w:rFonts w:hint="eastAsia" w:ascii="宋体" w:hAnsi="宋体"/>
          <w:b/>
          <w:sz w:val="24"/>
          <w:szCs w:val="24"/>
        </w:rPr>
      </w:pPr>
    </w:p>
    <w:p w14:paraId="236091BC">
      <w:pPr>
        <w:rPr>
          <w:rFonts w:hint="eastAsia" w:ascii="宋体" w:hAnsi="宋体"/>
          <w:b/>
          <w:sz w:val="24"/>
          <w:szCs w:val="24"/>
        </w:rPr>
      </w:pPr>
    </w:p>
    <w:p w14:paraId="5CA7E574">
      <w:pPr>
        <w:spacing w:line="400" w:lineRule="exact"/>
        <w:rPr>
          <w:rFonts w:hint="eastAsia" w:ascii="宋体" w:hAnsi="宋体"/>
          <w:b/>
          <w:sz w:val="24"/>
          <w:szCs w:val="24"/>
        </w:rPr>
      </w:pPr>
    </w:p>
    <w:p w14:paraId="531744E3">
      <w:pPr>
        <w:spacing w:line="400" w:lineRule="exact"/>
        <w:rPr>
          <w:rFonts w:ascii="宋体" w:hAnsi="宋体"/>
          <w:b/>
          <w:sz w:val="24"/>
          <w:szCs w:val="24"/>
        </w:rPr>
      </w:pPr>
      <w:r>
        <w:rPr>
          <w:rFonts w:hint="eastAsia" w:ascii="宋体" w:hAnsi="宋体"/>
          <w:b/>
          <w:sz w:val="24"/>
          <w:szCs w:val="24"/>
        </w:rPr>
        <w:t>二 、</w:t>
      </w:r>
      <w:r>
        <w:rPr>
          <w:rFonts w:ascii="宋体" w:hAnsi="宋体"/>
          <w:b/>
          <w:sz w:val="24"/>
          <w:szCs w:val="24"/>
        </w:rPr>
        <w:t>投标</w:t>
      </w:r>
      <w:r>
        <w:rPr>
          <w:rFonts w:hint="eastAsia" w:ascii="宋体" w:hAnsi="宋体"/>
          <w:b/>
          <w:sz w:val="24"/>
          <w:szCs w:val="24"/>
        </w:rPr>
        <w:t>报价</w:t>
      </w:r>
      <w:r>
        <w:rPr>
          <w:rFonts w:ascii="宋体" w:hAnsi="宋体"/>
          <w:b/>
          <w:sz w:val="24"/>
          <w:szCs w:val="24"/>
        </w:rPr>
        <w:t>表</w:t>
      </w:r>
      <w:bookmarkEnd w:id="109"/>
    </w:p>
    <w:p w14:paraId="13C809C6">
      <w:pPr>
        <w:spacing w:line="400" w:lineRule="exact"/>
        <w:jc w:val="center"/>
        <w:rPr>
          <w:rFonts w:ascii="宋体" w:hAnsi="宋体"/>
          <w:b/>
          <w:sz w:val="28"/>
          <w:szCs w:val="28"/>
        </w:rPr>
      </w:pPr>
      <w:r>
        <w:rPr>
          <w:rFonts w:hint="eastAsia" w:ascii="宋体" w:hAnsi="宋体"/>
          <w:b/>
          <w:sz w:val="28"/>
          <w:szCs w:val="28"/>
        </w:rPr>
        <w:t>总价报价表</w:t>
      </w:r>
    </w:p>
    <w:p w14:paraId="0848678A">
      <w:pPr>
        <w:spacing w:line="400" w:lineRule="exact"/>
        <w:rPr>
          <w:rFonts w:ascii="宋体" w:hAnsi="宋体"/>
          <w:szCs w:val="21"/>
        </w:rPr>
      </w:pPr>
      <w:r>
        <w:rPr>
          <w:rFonts w:ascii="宋体" w:hAnsi="宋体"/>
          <w:szCs w:val="21"/>
        </w:rPr>
        <w:t>项目名称：</w:t>
      </w:r>
    </w:p>
    <w:p w14:paraId="77210D86">
      <w:pPr>
        <w:spacing w:line="400" w:lineRule="exact"/>
        <w:rPr>
          <w:rFonts w:ascii="宋体" w:hAnsi="宋体"/>
          <w:szCs w:val="21"/>
        </w:rPr>
      </w:pPr>
      <w:r>
        <w:rPr>
          <w:rFonts w:ascii="宋体" w:hAnsi="宋体"/>
          <w:szCs w:val="21"/>
        </w:rPr>
        <w:t>招标文件编号：</w:t>
      </w:r>
    </w:p>
    <w:tbl>
      <w:tblPr>
        <w:tblStyle w:val="29"/>
        <w:tblW w:w="93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328"/>
        <w:gridCol w:w="876"/>
        <w:gridCol w:w="1596"/>
        <w:gridCol w:w="2076"/>
        <w:gridCol w:w="1785"/>
      </w:tblGrid>
      <w:tr w14:paraId="2153D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036" w:type="dxa"/>
            <w:gridSpan w:val="2"/>
            <w:vAlign w:val="center"/>
          </w:tcPr>
          <w:p w14:paraId="370E383C">
            <w:pPr>
              <w:spacing w:line="400" w:lineRule="exact"/>
              <w:rPr>
                <w:rFonts w:ascii="宋体" w:hAnsi="宋体"/>
                <w:szCs w:val="21"/>
              </w:rPr>
            </w:pPr>
            <w:r>
              <w:rPr>
                <w:rFonts w:ascii="宋体" w:hAnsi="宋体"/>
                <w:szCs w:val="21"/>
              </w:rPr>
              <w:t>投标</w:t>
            </w:r>
            <w:r>
              <w:rPr>
                <w:rFonts w:hint="eastAsia" w:ascii="宋体" w:hAnsi="宋体"/>
                <w:szCs w:val="21"/>
              </w:rPr>
              <w:t>报</w:t>
            </w:r>
            <w:r>
              <w:rPr>
                <w:rFonts w:ascii="宋体" w:hAnsi="宋体"/>
                <w:szCs w:val="21"/>
              </w:rPr>
              <w:t>价</w:t>
            </w:r>
          </w:p>
        </w:tc>
        <w:tc>
          <w:tcPr>
            <w:tcW w:w="876" w:type="dxa"/>
            <w:vAlign w:val="center"/>
          </w:tcPr>
          <w:p w14:paraId="542CAAC2">
            <w:pPr>
              <w:spacing w:line="400" w:lineRule="exact"/>
              <w:rPr>
                <w:rFonts w:ascii="宋体" w:hAnsi="宋体"/>
                <w:szCs w:val="21"/>
              </w:rPr>
            </w:pPr>
            <w:r>
              <w:rPr>
                <w:rFonts w:hint="eastAsia" w:ascii="宋体" w:hAnsi="宋体"/>
                <w:szCs w:val="21"/>
              </w:rPr>
              <w:t>施工</w:t>
            </w:r>
          </w:p>
          <w:p w14:paraId="5046D221">
            <w:pPr>
              <w:spacing w:line="400" w:lineRule="exact"/>
              <w:rPr>
                <w:rFonts w:ascii="宋体" w:hAnsi="宋体"/>
                <w:szCs w:val="21"/>
              </w:rPr>
            </w:pPr>
            <w:r>
              <w:rPr>
                <w:rFonts w:ascii="宋体" w:hAnsi="宋体"/>
                <w:szCs w:val="21"/>
              </w:rPr>
              <w:t>工期</w:t>
            </w:r>
          </w:p>
        </w:tc>
        <w:tc>
          <w:tcPr>
            <w:tcW w:w="1596" w:type="dxa"/>
            <w:shd w:val="clear" w:color="auto" w:fill="auto"/>
            <w:vAlign w:val="center"/>
          </w:tcPr>
          <w:p w14:paraId="405702C2">
            <w:pPr>
              <w:spacing w:line="400" w:lineRule="exact"/>
              <w:rPr>
                <w:rFonts w:ascii="宋体" w:hAnsi="宋体"/>
                <w:szCs w:val="21"/>
              </w:rPr>
            </w:pPr>
            <w:r>
              <w:rPr>
                <w:rFonts w:ascii="宋体" w:hAnsi="宋体"/>
                <w:szCs w:val="21"/>
              </w:rPr>
              <w:t>投标保证金</w:t>
            </w:r>
          </w:p>
          <w:p w14:paraId="5C800F3B">
            <w:pPr>
              <w:spacing w:line="400" w:lineRule="exact"/>
              <w:rPr>
                <w:rFonts w:ascii="宋体" w:hAnsi="宋体"/>
                <w:szCs w:val="21"/>
              </w:rPr>
            </w:pPr>
            <w:r>
              <w:rPr>
                <w:rFonts w:ascii="宋体" w:hAnsi="宋体"/>
                <w:szCs w:val="21"/>
              </w:rPr>
              <w:t>(是否提交)</w:t>
            </w:r>
          </w:p>
        </w:tc>
        <w:tc>
          <w:tcPr>
            <w:tcW w:w="2076" w:type="dxa"/>
            <w:vAlign w:val="center"/>
          </w:tcPr>
          <w:p w14:paraId="0530FAFF">
            <w:pPr>
              <w:spacing w:line="400" w:lineRule="exact"/>
              <w:rPr>
                <w:rFonts w:ascii="宋体" w:hAnsi="宋体"/>
                <w:szCs w:val="21"/>
              </w:rPr>
            </w:pPr>
            <w:r>
              <w:rPr>
                <w:rFonts w:hint="eastAsia" w:ascii="宋体" w:hAnsi="宋体"/>
                <w:szCs w:val="21"/>
              </w:rPr>
              <w:t>项目经理</w:t>
            </w:r>
            <w:r>
              <w:rPr>
                <w:rFonts w:ascii="宋体" w:hAnsi="宋体"/>
                <w:szCs w:val="21"/>
              </w:rPr>
              <w:t>姓名</w:t>
            </w:r>
          </w:p>
          <w:p w14:paraId="583205B8">
            <w:pPr>
              <w:spacing w:line="400" w:lineRule="exact"/>
              <w:rPr>
                <w:rFonts w:ascii="宋体" w:hAnsi="宋体"/>
                <w:szCs w:val="21"/>
              </w:rPr>
            </w:pPr>
            <w:r>
              <w:rPr>
                <w:rFonts w:ascii="宋体" w:hAnsi="宋体"/>
                <w:szCs w:val="21"/>
              </w:rPr>
              <w:t>及资质证书编号</w:t>
            </w:r>
          </w:p>
        </w:tc>
        <w:tc>
          <w:tcPr>
            <w:tcW w:w="1785" w:type="dxa"/>
            <w:vAlign w:val="center"/>
          </w:tcPr>
          <w:p w14:paraId="554EA4BE">
            <w:pPr>
              <w:spacing w:line="400" w:lineRule="exact"/>
              <w:rPr>
                <w:rFonts w:ascii="宋体" w:hAnsi="宋体"/>
                <w:szCs w:val="21"/>
              </w:rPr>
            </w:pPr>
            <w:r>
              <w:rPr>
                <w:rFonts w:ascii="宋体" w:hAnsi="宋体"/>
                <w:szCs w:val="21"/>
              </w:rPr>
              <w:t>任何投标声明</w:t>
            </w:r>
          </w:p>
          <w:p w14:paraId="2068B381">
            <w:pPr>
              <w:spacing w:line="400" w:lineRule="exact"/>
              <w:rPr>
                <w:rFonts w:ascii="宋体" w:hAnsi="宋体"/>
                <w:szCs w:val="21"/>
              </w:rPr>
            </w:pPr>
            <w:r>
              <w:rPr>
                <w:rFonts w:ascii="宋体" w:hAnsi="宋体"/>
                <w:szCs w:val="21"/>
              </w:rPr>
              <w:t>(如果有)</w:t>
            </w:r>
          </w:p>
        </w:tc>
      </w:tr>
      <w:tr w14:paraId="76CD7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3" w:hRule="atLeast"/>
        </w:trPr>
        <w:tc>
          <w:tcPr>
            <w:tcW w:w="3036" w:type="dxa"/>
            <w:gridSpan w:val="2"/>
            <w:vAlign w:val="center"/>
          </w:tcPr>
          <w:p w14:paraId="5C1DB7C5">
            <w:pPr>
              <w:spacing w:line="400" w:lineRule="exact"/>
              <w:rPr>
                <w:rFonts w:ascii="宋体" w:hAnsi="宋体"/>
                <w:szCs w:val="21"/>
              </w:rPr>
            </w:pPr>
          </w:p>
        </w:tc>
        <w:tc>
          <w:tcPr>
            <w:tcW w:w="876" w:type="dxa"/>
            <w:vAlign w:val="center"/>
          </w:tcPr>
          <w:p w14:paraId="4A78EDE9">
            <w:pPr>
              <w:spacing w:line="400" w:lineRule="exact"/>
              <w:rPr>
                <w:rFonts w:ascii="宋体" w:hAnsi="宋体"/>
                <w:szCs w:val="21"/>
              </w:rPr>
            </w:pPr>
          </w:p>
        </w:tc>
        <w:tc>
          <w:tcPr>
            <w:tcW w:w="1596" w:type="dxa"/>
            <w:shd w:val="clear" w:color="auto" w:fill="auto"/>
            <w:vAlign w:val="center"/>
          </w:tcPr>
          <w:p w14:paraId="5343D4A3">
            <w:pPr>
              <w:spacing w:line="400" w:lineRule="exact"/>
              <w:rPr>
                <w:rFonts w:ascii="宋体" w:hAnsi="宋体"/>
                <w:szCs w:val="21"/>
              </w:rPr>
            </w:pPr>
          </w:p>
        </w:tc>
        <w:tc>
          <w:tcPr>
            <w:tcW w:w="2076" w:type="dxa"/>
            <w:vAlign w:val="center"/>
          </w:tcPr>
          <w:p w14:paraId="2219B545">
            <w:pPr>
              <w:spacing w:line="400" w:lineRule="exact"/>
              <w:rPr>
                <w:rFonts w:ascii="宋体" w:hAnsi="宋体"/>
                <w:szCs w:val="21"/>
              </w:rPr>
            </w:pPr>
          </w:p>
        </w:tc>
        <w:tc>
          <w:tcPr>
            <w:tcW w:w="1785" w:type="dxa"/>
            <w:vAlign w:val="center"/>
          </w:tcPr>
          <w:p w14:paraId="1CE9CAE2">
            <w:pPr>
              <w:spacing w:line="400" w:lineRule="exact"/>
              <w:rPr>
                <w:rFonts w:ascii="宋体" w:hAnsi="宋体"/>
                <w:szCs w:val="21"/>
              </w:rPr>
            </w:pPr>
          </w:p>
        </w:tc>
      </w:tr>
      <w:tr w14:paraId="18A25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08" w:type="dxa"/>
            <w:vAlign w:val="center"/>
          </w:tcPr>
          <w:p w14:paraId="3AAA36BC">
            <w:pPr>
              <w:spacing w:line="400" w:lineRule="exact"/>
              <w:rPr>
                <w:rFonts w:ascii="宋体" w:hAnsi="宋体"/>
                <w:szCs w:val="21"/>
              </w:rPr>
            </w:pPr>
            <w:r>
              <w:rPr>
                <w:rFonts w:ascii="宋体" w:hAnsi="宋体"/>
                <w:szCs w:val="21"/>
              </w:rPr>
              <w:t>备注</w:t>
            </w:r>
          </w:p>
        </w:tc>
        <w:tc>
          <w:tcPr>
            <w:tcW w:w="7661" w:type="dxa"/>
            <w:gridSpan w:val="5"/>
            <w:vAlign w:val="center"/>
          </w:tcPr>
          <w:p w14:paraId="7A9672BE">
            <w:pPr>
              <w:spacing w:line="400" w:lineRule="exact"/>
              <w:rPr>
                <w:rFonts w:ascii="宋体" w:hAnsi="宋体"/>
                <w:szCs w:val="21"/>
              </w:rPr>
            </w:pPr>
          </w:p>
          <w:p w14:paraId="518FF14A">
            <w:pPr>
              <w:spacing w:line="400" w:lineRule="exact"/>
              <w:rPr>
                <w:rFonts w:ascii="宋体" w:hAnsi="宋体"/>
                <w:szCs w:val="21"/>
              </w:rPr>
            </w:pPr>
          </w:p>
          <w:p w14:paraId="19EFD922">
            <w:pPr>
              <w:spacing w:line="400" w:lineRule="exact"/>
              <w:rPr>
                <w:rFonts w:ascii="宋体" w:hAnsi="宋体"/>
                <w:szCs w:val="21"/>
              </w:rPr>
            </w:pPr>
          </w:p>
          <w:p w14:paraId="6CFC232E">
            <w:pPr>
              <w:spacing w:line="400" w:lineRule="exact"/>
              <w:rPr>
                <w:rFonts w:ascii="宋体" w:hAnsi="宋体"/>
                <w:szCs w:val="21"/>
              </w:rPr>
            </w:pPr>
          </w:p>
        </w:tc>
      </w:tr>
    </w:tbl>
    <w:p w14:paraId="3F1853F1">
      <w:pPr>
        <w:spacing w:line="400" w:lineRule="exact"/>
        <w:rPr>
          <w:rFonts w:ascii="宋体" w:hAnsi="宋体"/>
          <w:szCs w:val="21"/>
        </w:rPr>
      </w:pPr>
      <w:r>
        <w:rPr>
          <w:rFonts w:ascii="宋体" w:hAnsi="宋体"/>
          <w:szCs w:val="21"/>
        </w:rPr>
        <w:t>注：1、投标报价自开标之日起　天内有效。</w:t>
      </w:r>
    </w:p>
    <w:p w14:paraId="09D1D6B1">
      <w:pPr>
        <w:spacing w:line="400" w:lineRule="exact"/>
        <w:rPr>
          <w:rFonts w:ascii="宋体" w:hAnsi="宋体"/>
          <w:szCs w:val="21"/>
        </w:rPr>
      </w:pPr>
      <w:r>
        <w:rPr>
          <w:rFonts w:ascii="宋体" w:hAnsi="宋体"/>
          <w:szCs w:val="21"/>
        </w:rPr>
        <w:t>2、此表应按“投标人须知”的规定，与其它三个文件密封件单独提交。</w:t>
      </w:r>
    </w:p>
    <w:p w14:paraId="5737E388">
      <w:pPr>
        <w:adjustRightInd w:val="0"/>
        <w:snapToGrid w:val="0"/>
        <w:spacing w:line="360" w:lineRule="auto"/>
        <w:rPr>
          <w:rFonts w:ascii="Arial" w:hAnsi="Arial" w:cs="Arial"/>
          <w:sz w:val="24"/>
        </w:rPr>
      </w:pPr>
    </w:p>
    <w:p w14:paraId="28DB7351">
      <w:pPr>
        <w:adjustRightInd w:val="0"/>
        <w:snapToGrid w:val="0"/>
        <w:spacing w:line="360" w:lineRule="auto"/>
        <w:rPr>
          <w:rFonts w:ascii="Arial" w:hAnsi="Arial" w:cs="Arial"/>
          <w:b/>
          <w:sz w:val="24"/>
          <w:u w:val="single"/>
        </w:rPr>
      </w:pPr>
      <w:r>
        <w:rPr>
          <w:rFonts w:ascii="Arial" w:hAnsi="Arial" w:cs="Arial"/>
          <w:b/>
          <w:bCs/>
          <w:sz w:val="24"/>
        </w:rPr>
        <w:t>法定代表人或其委托代理人</w:t>
      </w:r>
      <w:r>
        <w:rPr>
          <w:rFonts w:ascii="Arial" w:hAnsi="Arial" w:cs="Arial"/>
          <w:b/>
          <w:sz w:val="24"/>
        </w:rPr>
        <w:t>签字：</w:t>
      </w:r>
      <w:r>
        <w:rPr>
          <w:rFonts w:hint="eastAsia" w:ascii="Arial" w:hAnsi="Arial" w:cs="Arial"/>
          <w:b/>
          <w:sz w:val="24"/>
        </w:rPr>
        <w:t xml:space="preserve"> </w:t>
      </w:r>
      <w:r>
        <w:rPr>
          <w:rFonts w:ascii="Arial" w:hAnsi="Arial" w:cs="Arial"/>
          <w:b/>
          <w:sz w:val="24"/>
        </w:rPr>
        <w:t xml:space="preserve">   </w:t>
      </w:r>
      <w:r>
        <w:rPr>
          <w:rFonts w:ascii="Arial" w:hAnsi="Arial" w:cs="Arial"/>
          <w:b/>
          <w:sz w:val="24"/>
          <w:u w:val="single"/>
        </w:rPr>
        <w:t>　</w:t>
      </w:r>
      <w:r>
        <w:rPr>
          <w:rFonts w:hint="eastAsia" w:ascii="Arial" w:hAnsi="Arial" w:cs="Arial"/>
          <w:b/>
          <w:sz w:val="24"/>
          <w:u w:val="single"/>
        </w:rPr>
        <w:t xml:space="preserve"> </w:t>
      </w:r>
    </w:p>
    <w:p w14:paraId="2B61F987">
      <w:pPr>
        <w:adjustRightInd w:val="0"/>
        <w:snapToGrid w:val="0"/>
        <w:spacing w:line="360" w:lineRule="auto"/>
        <w:rPr>
          <w:rFonts w:ascii="Arial" w:hAnsi="Arial" w:cs="Arial"/>
          <w:b/>
          <w:bCs/>
          <w:sz w:val="18"/>
          <w:szCs w:val="18"/>
          <w:u w:val="single"/>
        </w:rPr>
      </w:pPr>
    </w:p>
    <w:p w14:paraId="41D1CE95">
      <w:pPr>
        <w:adjustRightInd w:val="0"/>
        <w:snapToGrid w:val="0"/>
        <w:spacing w:line="360" w:lineRule="auto"/>
        <w:rPr>
          <w:rFonts w:ascii="Arial" w:hAnsi="Arial" w:cs="Arial"/>
          <w:b/>
          <w:sz w:val="24"/>
          <w:u w:val="single"/>
        </w:rPr>
      </w:pPr>
      <w:r>
        <w:rPr>
          <w:rFonts w:ascii="Arial" w:hAnsi="Arial" w:cs="Arial"/>
          <w:b/>
          <w:sz w:val="24"/>
        </w:rPr>
        <w:t>投标单位名称及盖章：</w:t>
      </w:r>
    </w:p>
    <w:p w14:paraId="7018EF3B">
      <w:pPr>
        <w:rPr>
          <w:rFonts w:ascii="宋体" w:hAnsi="宋体"/>
          <w:b/>
          <w:sz w:val="24"/>
          <w:szCs w:val="24"/>
        </w:rPr>
      </w:pPr>
    </w:p>
    <w:p w14:paraId="75B031E0">
      <w:pPr>
        <w:rPr>
          <w:rFonts w:ascii="宋体" w:hAnsi="宋体"/>
          <w:b/>
          <w:sz w:val="24"/>
          <w:szCs w:val="24"/>
        </w:rPr>
      </w:pPr>
      <w:r>
        <w:rPr>
          <w:rFonts w:hint="eastAsia" w:ascii="宋体" w:hAnsi="宋体"/>
          <w:b/>
          <w:sz w:val="24"/>
          <w:szCs w:val="24"/>
        </w:rPr>
        <w:t>投标日期：</w:t>
      </w:r>
    </w:p>
    <w:p w14:paraId="361F83DB">
      <w:pPr>
        <w:rPr>
          <w:rFonts w:ascii="宋体" w:hAnsi="宋体"/>
          <w:b/>
          <w:sz w:val="24"/>
          <w:szCs w:val="24"/>
        </w:rPr>
      </w:pPr>
    </w:p>
    <w:p w14:paraId="40E85D55">
      <w:pPr>
        <w:rPr>
          <w:rFonts w:ascii="宋体" w:hAnsi="宋体"/>
          <w:b/>
          <w:sz w:val="24"/>
          <w:szCs w:val="24"/>
        </w:rPr>
      </w:pPr>
    </w:p>
    <w:p w14:paraId="50992A3E">
      <w:pPr>
        <w:spacing w:line="400" w:lineRule="exact"/>
        <w:jc w:val="center"/>
        <w:rPr>
          <w:rFonts w:hint="eastAsia" w:ascii="宋体" w:hAnsi="宋体"/>
          <w:b/>
          <w:sz w:val="28"/>
          <w:szCs w:val="28"/>
        </w:rPr>
      </w:pPr>
    </w:p>
    <w:p w14:paraId="25E58B57">
      <w:pPr>
        <w:spacing w:line="400" w:lineRule="exact"/>
        <w:jc w:val="center"/>
        <w:rPr>
          <w:rFonts w:hint="eastAsia" w:ascii="宋体" w:hAnsi="宋体"/>
          <w:b/>
          <w:sz w:val="28"/>
          <w:szCs w:val="28"/>
        </w:rPr>
      </w:pPr>
    </w:p>
    <w:p w14:paraId="6853AB2F">
      <w:pPr>
        <w:spacing w:line="400" w:lineRule="exact"/>
        <w:jc w:val="center"/>
        <w:rPr>
          <w:rFonts w:hint="eastAsia" w:ascii="宋体" w:hAnsi="宋体"/>
          <w:b/>
          <w:sz w:val="28"/>
          <w:szCs w:val="28"/>
        </w:rPr>
      </w:pPr>
    </w:p>
    <w:p w14:paraId="1718BE88">
      <w:pPr>
        <w:spacing w:line="400" w:lineRule="exact"/>
        <w:jc w:val="center"/>
        <w:rPr>
          <w:rFonts w:hint="eastAsia" w:ascii="宋体" w:hAnsi="宋体"/>
          <w:b/>
          <w:sz w:val="28"/>
          <w:szCs w:val="28"/>
        </w:rPr>
      </w:pPr>
    </w:p>
    <w:p w14:paraId="3AFC208F">
      <w:pPr>
        <w:spacing w:line="400" w:lineRule="exact"/>
        <w:jc w:val="center"/>
        <w:rPr>
          <w:rFonts w:hint="eastAsia" w:ascii="宋体" w:hAnsi="宋体"/>
          <w:b/>
          <w:sz w:val="28"/>
          <w:szCs w:val="28"/>
        </w:rPr>
      </w:pPr>
    </w:p>
    <w:p w14:paraId="5FDD9983">
      <w:pPr>
        <w:spacing w:line="400" w:lineRule="exact"/>
        <w:jc w:val="center"/>
        <w:rPr>
          <w:rFonts w:hint="eastAsia" w:ascii="宋体" w:hAnsi="宋体"/>
          <w:b/>
          <w:sz w:val="28"/>
          <w:szCs w:val="28"/>
        </w:rPr>
      </w:pPr>
    </w:p>
    <w:p w14:paraId="1275A554">
      <w:pPr>
        <w:spacing w:line="400" w:lineRule="exact"/>
        <w:jc w:val="center"/>
        <w:rPr>
          <w:rFonts w:hint="eastAsia" w:ascii="宋体" w:hAnsi="宋体"/>
          <w:b/>
          <w:sz w:val="28"/>
          <w:szCs w:val="28"/>
        </w:rPr>
      </w:pPr>
    </w:p>
    <w:p w14:paraId="5660229B">
      <w:pPr>
        <w:spacing w:line="400" w:lineRule="exact"/>
        <w:jc w:val="center"/>
        <w:rPr>
          <w:rFonts w:hint="eastAsia" w:ascii="宋体" w:hAnsi="宋体"/>
          <w:b/>
          <w:sz w:val="28"/>
          <w:szCs w:val="28"/>
        </w:rPr>
      </w:pPr>
    </w:p>
    <w:p w14:paraId="0E548D30">
      <w:pPr>
        <w:spacing w:line="400" w:lineRule="exact"/>
        <w:jc w:val="both"/>
        <w:rPr>
          <w:rFonts w:hint="eastAsia" w:ascii="宋体" w:hAnsi="宋体"/>
          <w:b/>
          <w:sz w:val="28"/>
          <w:szCs w:val="28"/>
        </w:rPr>
      </w:pPr>
    </w:p>
    <w:p w14:paraId="322E5213">
      <w:pPr>
        <w:spacing w:line="400" w:lineRule="exact"/>
        <w:jc w:val="center"/>
        <w:rPr>
          <w:rFonts w:hint="eastAsia" w:ascii="宋体" w:hAnsi="宋体"/>
          <w:b/>
          <w:sz w:val="28"/>
          <w:szCs w:val="28"/>
        </w:rPr>
      </w:pPr>
    </w:p>
    <w:p w14:paraId="1B93B169">
      <w:pPr>
        <w:spacing w:line="400" w:lineRule="exact"/>
        <w:jc w:val="center"/>
        <w:rPr>
          <w:rFonts w:hint="eastAsia" w:ascii="宋体" w:hAnsi="宋体"/>
          <w:b/>
          <w:sz w:val="28"/>
          <w:szCs w:val="28"/>
        </w:rPr>
      </w:pPr>
    </w:p>
    <w:p w14:paraId="1D7DEEAB">
      <w:pPr>
        <w:spacing w:line="400" w:lineRule="exact"/>
        <w:jc w:val="center"/>
        <w:rPr>
          <w:rFonts w:ascii="宋体" w:hAnsi="宋体"/>
          <w:b/>
          <w:sz w:val="28"/>
          <w:szCs w:val="28"/>
        </w:rPr>
      </w:pPr>
      <w:r>
        <w:rPr>
          <w:rFonts w:hint="eastAsia" w:ascii="宋体" w:hAnsi="宋体"/>
          <w:b/>
          <w:sz w:val="28"/>
          <w:szCs w:val="28"/>
        </w:rPr>
        <w:t>全费用包干单价报价表</w:t>
      </w:r>
    </w:p>
    <w:p w14:paraId="74D41023">
      <w:pPr>
        <w:spacing w:line="400" w:lineRule="exact"/>
        <w:rPr>
          <w:rFonts w:ascii="宋体" w:hAnsi="宋体"/>
          <w:szCs w:val="21"/>
        </w:rPr>
      </w:pPr>
      <w:r>
        <w:rPr>
          <w:rFonts w:ascii="宋体" w:hAnsi="宋体"/>
          <w:szCs w:val="21"/>
        </w:rPr>
        <w:t>项目名称：</w:t>
      </w:r>
    </w:p>
    <w:p w14:paraId="62D0D1A6">
      <w:pPr>
        <w:spacing w:line="400" w:lineRule="exact"/>
        <w:rPr>
          <w:rFonts w:ascii="宋体" w:hAnsi="宋体"/>
          <w:szCs w:val="21"/>
        </w:rPr>
      </w:pPr>
      <w:r>
        <w:rPr>
          <w:rFonts w:ascii="宋体" w:hAnsi="宋体"/>
          <w:szCs w:val="21"/>
        </w:rPr>
        <w:t>招标文件编号：</w:t>
      </w:r>
    </w:p>
    <w:p w14:paraId="23D95D9E">
      <w:pPr>
        <w:rPr>
          <w:rFonts w:ascii="宋体" w:hAnsi="宋体"/>
          <w:b/>
          <w:sz w:val="24"/>
          <w:szCs w:val="24"/>
        </w:rPr>
      </w:pPr>
    </w:p>
    <w:tbl>
      <w:tblPr>
        <w:tblStyle w:val="29"/>
        <w:tblW w:w="9654" w:type="dxa"/>
        <w:tblInd w:w="0" w:type="dxa"/>
        <w:tblLayout w:type="fixed"/>
        <w:tblCellMar>
          <w:top w:w="15" w:type="dxa"/>
          <w:left w:w="15" w:type="dxa"/>
          <w:bottom w:w="15" w:type="dxa"/>
          <w:right w:w="15" w:type="dxa"/>
        </w:tblCellMar>
      </w:tblPr>
      <w:tblGrid>
        <w:gridCol w:w="446"/>
        <w:gridCol w:w="2121"/>
        <w:gridCol w:w="5245"/>
        <w:gridCol w:w="708"/>
        <w:gridCol w:w="1134"/>
      </w:tblGrid>
      <w:tr w14:paraId="67D0B6F7">
        <w:tblPrEx>
          <w:tblCellMar>
            <w:top w:w="15" w:type="dxa"/>
            <w:left w:w="15" w:type="dxa"/>
            <w:bottom w:w="15" w:type="dxa"/>
            <w:right w:w="15" w:type="dxa"/>
          </w:tblCellMar>
        </w:tblPrEx>
        <w:trPr>
          <w:trHeight w:val="260" w:hRule="atLeast"/>
        </w:trPr>
        <w:tc>
          <w:tcPr>
            <w:tcW w:w="9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AC4D1">
            <w:pPr>
              <w:widowControl/>
              <w:jc w:val="center"/>
              <w:textAlignment w:val="center"/>
              <w:rPr>
                <w:rFonts w:ascii="宋体" w:hAnsi="宋体" w:cs="宋体"/>
                <w:b/>
                <w:color w:val="00B050"/>
                <w:kern w:val="0"/>
                <w:sz w:val="20"/>
              </w:rPr>
            </w:pPr>
            <w:r>
              <w:rPr>
                <w:rFonts w:hint="eastAsia" w:ascii="宋体" w:hAnsi="宋体"/>
                <w:b w:val="0"/>
                <w:bCs/>
                <w:sz w:val="21"/>
                <w:szCs w:val="21"/>
                <w:lang w:val="en-US" w:eastAsia="zh-CN"/>
              </w:rPr>
              <w:t>电力市场化交易售电项目</w:t>
            </w:r>
            <w:r>
              <w:rPr>
                <w:rFonts w:ascii="宋体" w:hAnsi="宋体"/>
                <w:b/>
                <w:bCs/>
                <w:szCs w:val="21"/>
              </w:rPr>
              <w:t>价格明细表</w:t>
            </w:r>
          </w:p>
        </w:tc>
      </w:tr>
      <w:tr w14:paraId="7A47FE37">
        <w:tblPrEx>
          <w:tblCellMar>
            <w:top w:w="15" w:type="dxa"/>
            <w:left w:w="15" w:type="dxa"/>
            <w:bottom w:w="15" w:type="dxa"/>
            <w:right w:w="15" w:type="dxa"/>
          </w:tblCellMar>
        </w:tblPrEx>
        <w:trPr>
          <w:trHeight w:val="47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AEED">
            <w:pPr>
              <w:widowControl/>
              <w:jc w:val="center"/>
              <w:textAlignment w:val="center"/>
              <w:rPr>
                <w:rFonts w:ascii="宋体" w:hAnsi="宋体" w:cs="宋体"/>
                <w:b/>
                <w:color w:val="000000"/>
                <w:sz w:val="20"/>
              </w:rPr>
            </w:pPr>
            <w:r>
              <w:rPr>
                <w:rFonts w:hint="eastAsia" w:ascii="宋体" w:hAnsi="宋体" w:cs="宋体"/>
                <w:b/>
                <w:color w:val="000000"/>
                <w:kern w:val="0"/>
                <w:sz w:val="20"/>
              </w:rPr>
              <w:t>序号</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749">
            <w:pPr>
              <w:widowControl/>
              <w:jc w:val="center"/>
              <w:textAlignment w:val="center"/>
              <w:rPr>
                <w:rFonts w:ascii="宋体" w:hAnsi="宋体" w:cs="宋体"/>
                <w:b/>
                <w:color w:val="000000"/>
                <w:sz w:val="20"/>
              </w:rPr>
            </w:pPr>
            <w:r>
              <w:rPr>
                <w:rFonts w:hint="eastAsia" w:ascii="宋体" w:hAnsi="宋体" w:cs="宋体"/>
                <w:b/>
                <w:color w:val="000000"/>
                <w:kern w:val="0"/>
                <w:sz w:val="20"/>
              </w:rPr>
              <w:t>项目名称</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BCA4">
            <w:pPr>
              <w:widowControl/>
              <w:jc w:val="center"/>
              <w:textAlignment w:val="center"/>
              <w:rPr>
                <w:rFonts w:ascii="宋体" w:hAnsi="宋体" w:cs="宋体"/>
                <w:b/>
                <w:color w:val="000000"/>
                <w:sz w:val="20"/>
              </w:rPr>
            </w:pPr>
            <w:r>
              <w:rPr>
                <w:rFonts w:hint="eastAsia" w:ascii="宋体" w:hAnsi="宋体" w:cs="宋体"/>
                <w:b/>
                <w:color w:val="000000"/>
                <w:kern w:val="0"/>
                <w:sz w:val="20"/>
              </w:rPr>
              <w:t>项目特征及工作内容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0C6E">
            <w:pPr>
              <w:widowControl/>
              <w:jc w:val="center"/>
              <w:textAlignment w:val="center"/>
              <w:rPr>
                <w:rFonts w:ascii="宋体" w:hAnsi="宋体" w:cs="宋体"/>
                <w:b/>
                <w:color w:val="000000"/>
                <w:sz w:val="20"/>
              </w:rPr>
            </w:pPr>
            <w:r>
              <w:rPr>
                <w:rFonts w:hint="eastAsia" w:ascii="宋体" w:hAnsi="宋体" w:cs="宋体"/>
                <w:b/>
                <w:color w:val="000000"/>
                <w:kern w:val="0"/>
                <w:sz w:val="20"/>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387D">
            <w:pPr>
              <w:widowControl/>
              <w:jc w:val="center"/>
              <w:textAlignment w:val="center"/>
              <w:rPr>
                <w:rFonts w:ascii="宋体" w:hAnsi="宋体" w:cs="宋体"/>
                <w:b/>
                <w:color w:val="000000"/>
                <w:sz w:val="20"/>
              </w:rPr>
            </w:pPr>
            <w:r>
              <w:rPr>
                <w:rFonts w:hint="eastAsia" w:ascii="宋体" w:hAnsi="宋体" w:cs="宋体"/>
                <w:b/>
                <w:kern w:val="0"/>
                <w:sz w:val="20"/>
              </w:rPr>
              <w:t>全费用包干单价（元）</w:t>
            </w:r>
          </w:p>
        </w:tc>
      </w:tr>
      <w:tr w14:paraId="5898688D">
        <w:tblPrEx>
          <w:tblCellMar>
            <w:top w:w="15" w:type="dxa"/>
            <w:left w:w="15" w:type="dxa"/>
            <w:bottom w:w="15" w:type="dxa"/>
            <w:right w:w="15" w:type="dxa"/>
          </w:tblCellMar>
        </w:tblPrEx>
        <w:trPr>
          <w:trHeight w:val="105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D4F1">
            <w:pPr>
              <w:widowControl/>
              <w:jc w:val="center"/>
              <w:textAlignment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2BAA">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代购电单价</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704D">
            <w:pPr>
              <w:widowControl/>
              <w:jc w:val="left"/>
              <w:textAlignment w:val="center"/>
              <w:rPr>
                <w:rFonts w:ascii="Tahoma" w:hAnsi="Tahoma" w:eastAsia="Tahoma" w:cs="Tahoma"/>
                <w:color w:val="000000"/>
                <w:sz w:val="20"/>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C2BD">
            <w:pPr>
              <w:widowControl/>
              <w:jc w:val="center"/>
              <w:textAlignment w:val="center"/>
              <w:rPr>
                <w:rFonts w:hint="default" w:ascii="宋体" w:hAnsi="宋体" w:eastAsia="宋体" w:cs="Tahoma"/>
                <w:color w:val="000000"/>
                <w:sz w:val="20"/>
                <w:lang w:val="en-US" w:eastAsia="zh-CN"/>
              </w:rPr>
            </w:pPr>
            <w:r>
              <w:rPr>
                <w:rFonts w:hint="eastAsia" w:ascii="宋体" w:hAnsi="宋体" w:cs="Tahoma"/>
                <w:color w:val="000000"/>
                <w:sz w:val="20"/>
                <w:lang w:val="en-US" w:eastAsia="zh-CN"/>
              </w:rPr>
              <w:t>元/度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809">
            <w:pPr>
              <w:rPr>
                <w:rFonts w:ascii="Tahoma" w:hAnsi="Tahoma" w:eastAsia="Tahoma" w:cs="Tahoma"/>
                <w:color w:val="000000"/>
                <w:sz w:val="20"/>
              </w:rPr>
            </w:pPr>
          </w:p>
        </w:tc>
      </w:tr>
      <w:tr w14:paraId="459D9E0A">
        <w:tblPrEx>
          <w:tblCellMar>
            <w:top w:w="15" w:type="dxa"/>
            <w:left w:w="15" w:type="dxa"/>
            <w:bottom w:w="15" w:type="dxa"/>
            <w:right w:w="15" w:type="dxa"/>
          </w:tblCellMar>
        </w:tblPrEx>
        <w:trPr>
          <w:trHeight w:val="824"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4BD0">
            <w:pPr>
              <w:widowControl/>
              <w:jc w:val="center"/>
              <w:textAlignment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E2CC">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增值服务</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3B41">
            <w:pPr>
              <w:widowControl/>
              <w:jc w:val="left"/>
              <w:textAlignment w:val="center"/>
              <w:rPr>
                <w:rFonts w:ascii="宋体" w:hAnsi="宋体"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982">
            <w:pPr>
              <w:widowControl/>
              <w:jc w:val="center"/>
              <w:textAlignment w:val="center"/>
              <w:rPr>
                <w:rFonts w:hint="eastAsia" w:ascii="Tahoma" w:hAnsi="Tahoma" w:eastAsia="宋体" w:cs="Tahoma"/>
                <w:color w:val="000000"/>
                <w:sz w:val="20"/>
                <w:lang w:val="en-US" w:eastAsia="zh-CN"/>
              </w:rPr>
            </w:pPr>
            <w:r>
              <w:rPr>
                <w:rFonts w:hint="eastAsia" w:ascii="Tahoma" w:hAnsi="Tahoma" w:cs="Tahoma"/>
                <w:color w:val="000000"/>
                <w:sz w:val="20"/>
                <w:lang w:val="en-US" w:eastAsia="zh-CN"/>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D641">
            <w:pPr>
              <w:jc w:val="center"/>
              <w:rPr>
                <w:rFonts w:ascii="Tahoma" w:hAnsi="Tahoma" w:eastAsia="Tahoma" w:cs="Tahoma"/>
                <w:color w:val="000000"/>
                <w:sz w:val="20"/>
              </w:rPr>
            </w:pPr>
          </w:p>
        </w:tc>
      </w:tr>
      <w:tr w14:paraId="4B6D636E">
        <w:tblPrEx>
          <w:tblCellMar>
            <w:top w:w="15" w:type="dxa"/>
            <w:left w:w="15" w:type="dxa"/>
            <w:bottom w:w="15" w:type="dxa"/>
            <w:right w:w="15" w:type="dxa"/>
          </w:tblCellMar>
        </w:tblPrEx>
        <w:trPr>
          <w:trHeight w:val="796"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B6F5">
            <w:pPr>
              <w:widowControl/>
              <w:jc w:val="center"/>
              <w:textAlignment w:val="center"/>
              <w:rPr>
                <w:rFonts w:ascii="宋体" w:hAnsi="宋体" w:cs="宋体"/>
                <w:color w:val="000000"/>
                <w:sz w:val="20"/>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FC8">
            <w:pPr>
              <w:widowControl/>
              <w:jc w:val="center"/>
              <w:textAlignment w:val="center"/>
              <w:rPr>
                <w:rFonts w:ascii="宋体" w:hAnsi="宋体" w:cs="宋体"/>
                <w:color w:val="000000"/>
                <w:sz w:val="20"/>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637">
            <w:pPr>
              <w:widowControl/>
              <w:jc w:val="left"/>
              <w:textAlignment w:val="center"/>
              <w:rPr>
                <w:rFonts w:ascii="宋体" w:hAnsi="宋体"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8D99">
            <w:pPr>
              <w:widowControl/>
              <w:jc w:val="center"/>
              <w:textAlignment w:val="center"/>
              <w:rPr>
                <w:rFonts w:ascii="Tahoma" w:hAnsi="Tahoma" w:eastAsia="Tahoma" w:cs="Tahoma"/>
                <w:color w:val="00000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FA8">
            <w:pPr>
              <w:jc w:val="center"/>
              <w:rPr>
                <w:rFonts w:ascii="Tahoma" w:hAnsi="Tahoma" w:eastAsia="Tahoma" w:cs="Tahoma"/>
                <w:color w:val="000000"/>
                <w:sz w:val="20"/>
              </w:rPr>
            </w:pPr>
          </w:p>
        </w:tc>
      </w:tr>
      <w:tr w14:paraId="73905CF6">
        <w:tblPrEx>
          <w:tblCellMar>
            <w:top w:w="15" w:type="dxa"/>
            <w:left w:w="15" w:type="dxa"/>
            <w:bottom w:w="15" w:type="dxa"/>
            <w:right w:w="15" w:type="dxa"/>
          </w:tblCellMar>
        </w:tblPrEx>
        <w:trPr>
          <w:trHeight w:val="670" w:hRule="atLeast"/>
        </w:trPr>
        <w:tc>
          <w:tcPr>
            <w:tcW w:w="446" w:type="dxa"/>
            <w:tcBorders>
              <w:top w:val="single" w:color="000000" w:sz="4" w:space="0"/>
              <w:left w:val="single" w:color="000000" w:sz="4" w:space="0"/>
              <w:bottom w:val="single" w:color="auto" w:sz="4" w:space="0"/>
              <w:right w:val="single" w:color="000000" w:sz="4" w:space="0"/>
            </w:tcBorders>
            <w:shd w:val="clear" w:color="auto" w:fill="auto"/>
            <w:vAlign w:val="center"/>
          </w:tcPr>
          <w:p w14:paraId="2C5E2896">
            <w:pPr>
              <w:widowControl/>
              <w:jc w:val="center"/>
              <w:textAlignment w:val="center"/>
              <w:rPr>
                <w:rFonts w:ascii="宋体" w:hAnsi="宋体" w:cs="宋体"/>
                <w:color w:val="000000"/>
                <w:sz w:val="20"/>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14:paraId="1BB32D15">
            <w:pPr>
              <w:widowControl/>
              <w:jc w:val="center"/>
              <w:textAlignment w:val="center"/>
              <w:rPr>
                <w:rFonts w:ascii="宋体" w:hAnsi="宋体" w:cs="宋体"/>
                <w:color w:val="000000"/>
                <w:sz w:val="20"/>
              </w:rPr>
            </w:pPr>
          </w:p>
        </w:tc>
        <w:tc>
          <w:tcPr>
            <w:tcW w:w="5245" w:type="dxa"/>
            <w:tcBorders>
              <w:top w:val="single" w:color="000000" w:sz="4" w:space="0"/>
              <w:left w:val="single" w:color="000000" w:sz="4" w:space="0"/>
              <w:bottom w:val="single" w:color="auto" w:sz="4" w:space="0"/>
              <w:right w:val="single" w:color="000000" w:sz="4" w:space="0"/>
            </w:tcBorders>
            <w:shd w:val="clear" w:color="auto" w:fill="auto"/>
            <w:vAlign w:val="center"/>
          </w:tcPr>
          <w:p w14:paraId="7159B547">
            <w:pPr>
              <w:widowControl/>
              <w:numPr>
                <w:ilvl w:val="0"/>
                <w:numId w:val="0"/>
              </w:numPr>
              <w:jc w:val="left"/>
              <w:textAlignment w:val="center"/>
              <w:rPr>
                <w:rFonts w:ascii="Tahoma" w:hAnsi="Tahoma" w:eastAsia="Tahoma" w:cs="Tahoma"/>
                <w:color w:val="000000"/>
                <w:sz w:val="20"/>
              </w:rPr>
            </w:pPr>
          </w:p>
        </w:tc>
        <w:tc>
          <w:tcPr>
            <w:tcW w:w="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637244C">
            <w:pPr>
              <w:jc w:val="center"/>
            </w:pP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060C7167">
            <w:pPr>
              <w:rPr>
                <w:rFonts w:ascii="Tahoma" w:hAnsi="Tahoma" w:eastAsia="Tahoma" w:cs="Tahoma"/>
                <w:color w:val="000000"/>
                <w:sz w:val="22"/>
                <w:szCs w:val="22"/>
              </w:rPr>
            </w:pPr>
          </w:p>
        </w:tc>
      </w:tr>
      <w:tr w14:paraId="0C95C99D">
        <w:tblPrEx>
          <w:tblCellMar>
            <w:top w:w="15" w:type="dxa"/>
            <w:left w:w="15" w:type="dxa"/>
            <w:bottom w:w="15" w:type="dxa"/>
            <w:right w:w="15" w:type="dxa"/>
          </w:tblCellMar>
        </w:tblPrEx>
        <w:trPr>
          <w:trHeight w:val="624" w:hRule="atLeast"/>
        </w:trPr>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14:paraId="26483457">
            <w:pPr>
              <w:widowControl/>
              <w:jc w:val="center"/>
              <w:textAlignment w:val="center"/>
              <w:rPr>
                <w:rFonts w:ascii="宋体" w:hAnsi="宋体" w:cs="宋体"/>
                <w:color w:val="000000"/>
                <w:sz w:val="20"/>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68425642">
            <w:pPr>
              <w:widowControl/>
              <w:jc w:val="center"/>
              <w:textAlignment w:val="center"/>
              <w:rPr>
                <w:rFonts w:ascii="宋体" w:hAnsi="宋体" w:cs="宋体"/>
                <w:color w:val="000000"/>
                <w:sz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vAlign w:val="center"/>
          </w:tcPr>
          <w:p w14:paraId="4FC2CD9A">
            <w:pPr>
              <w:widowControl/>
              <w:jc w:val="left"/>
              <w:textAlignment w:val="center"/>
              <w:rPr>
                <w:rFonts w:ascii="Tahoma" w:hAnsi="Tahoma" w:eastAsia="Tahoma" w:cs="Tahoma"/>
                <w:color w:val="000000"/>
                <w:sz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59440B8">
            <w:pPr>
              <w:jc w:val="cente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DEBCCF">
            <w:pPr>
              <w:rPr>
                <w:rFonts w:ascii="Tahoma" w:hAnsi="Tahoma" w:eastAsia="Tahoma" w:cs="Tahoma"/>
                <w:color w:val="000000"/>
                <w:sz w:val="22"/>
                <w:szCs w:val="22"/>
              </w:rPr>
            </w:pPr>
          </w:p>
        </w:tc>
      </w:tr>
      <w:tr w14:paraId="2DDD4A1F">
        <w:tblPrEx>
          <w:tblCellMar>
            <w:top w:w="15" w:type="dxa"/>
            <w:left w:w="15" w:type="dxa"/>
            <w:bottom w:w="15" w:type="dxa"/>
            <w:right w:w="15" w:type="dxa"/>
          </w:tblCellMar>
        </w:tblPrEx>
        <w:trPr>
          <w:trHeight w:val="624" w:hRule="atLeast"/>
        </w:trPr>
        <w:tc>
          <w:tcPr>
            <w:tcW w:w="965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8B2F24">
            <w:pPr>
              <w:ind w:firstLine="400" w:firstLineChars="200"/>
              <w:rPr>
                <w:rFonts w:ascii="Tahoma" w:hAnsi="Tahoma" w:eastAsia="Tahoma" w:cs="Tahoma"/>
                <w:color w:val="000000"/>
                <w:sz w:val="22"/>
                <w:szCs w:val="22"/>
              </w:rPr>
            </w:pPr>
            <w:r>
              <w:rPr>
                <w:rFonts w:hint="eastAsia" w:ascii="宋体" w:hAnsi="宋体" w:cs="宋体"/>
                <w:color w:val="000000"/>
                <w:kern w:val="0"/>
                <w:sz w:val="20"/>
              </w:rPr>
              <w:t>说明：本表由投标单位自行填写，本次邀标设计图纸中所包含的分项工程、项目特征空工作内容等应填写齐全，若遗漏则视为投标单位已包含在其它项目报价中，结算时不得增加，总价不作调整。</w:t>
            </w:r>
          </w:p>
        </w:tc>
      </w:tr>
    </w:tbl>
    <w:p w14:paraId="596EB517">
      <w:pPr>
        <w:ind w:firstLine="482" w:firstLineChars="200"/>
        <w:rPr>
          <w:rFonts w:ascii="宋体" w:hAnsi="宋体"/>
          <w:b/>
          <w:sz w:val="24"/>
          <w:szCs w:val="24"/>
        </w:rPr>
      </w:pPr>
    </w:p>
    <w:p w14:paraId="64CE2353">
      <w:pPr>
        <w:ind w:firstLine="482" w:firstLineChars="200"/>
        <w:rPr>
          <w:rFonts w:ascii="宋体" w:hAnsi="宋体"/>
          <w:b/>
          <w:sz w:val="24"/>
          <w:szCs w:val="24"/>
        </w:rPr>
      </w:pPr>
    </w:p>
    <w:p w14:paraId="12912EE2">
      <w:pPr>
        <w:adjustRightInd w:val="0"/>
        <w:snapToGrid w:val="0"/>
        <w:spacing w:line="360" w:lineRule="auto"/>
        <w:rPr>
          <w:rFonts w:ascii="Arial" w:hAnsi="Arial" w:cs="Arial"/>
          <w:b/>
          <w:sz w:val="24"/>
          <w:u w:val="single"/>
        </w:rPr>
      </w:pPr>
      <w:r>
        <w:rPr>
          <w:rFonts w:ascii="Arial" w:hAnsi="Arial" w:cs="Arial"/>
          <w:b/>
          <w:bCs/>
          <w:sz w:val="24"/>
        </w:rPr>
        <w:t>法定代表人或其委托代理人</w:t>
      </w:r>
      <w:r>
        <w:rPr>
          <w:rFonts w:ascii="Arial" w:hAnsi="Arial" w:cs="Arial"/>
          <w:b/>
          <w:sz w:val="24"/>
        </w:rPr>
        <w:t>签字：</w:t>
      </w:r>
      <w:r>
        <w:rPr>
          <w:rFonts w:hint="eastAsia" w:ascii="Arial" w:hAnsi="Arial" w:cs="Arial"/>
          <w:b/>
          <w:sz w:val="24"/>
        </w:rPr>
        <w:t xml:space="preserve"> </w:t>
      </w:r>
      <w:r>
        <w:rPr>
          <w:rFonts w:ascii="Arial" w:hAnsi="Arial" w:cs="Arial"/>
          <w:b/>
          <w:sz w:val="24"/>
        </w:rPr>
        <w:t xml:space="preserve">   </w:t>
      </w:r>
      <w:r>
        <w:rPr>
          <w:rFonts w:ascii="Arial" w:hAnsi="Arial" w:cs="Arial"/>
          <w:b/>
          <w:sz w:val="24"/>
          <w:u w:val="single"/>
        </w:rPr>
        <w:t>　</w:t>
      </w:r>
      <w:r>
        <w:rPr>
          <w:rFonts w:hint="eastAsia" w:ascii="Arial" w:hAnsi="Arial" w:cs="Arial"/>
          <w:b/>
          <w:sz w:val="24"/>
          <w:u w:val="single"/>
        </w:rPr>
        <w:t xml:space="preserve"> </w:t>
      </w:r>
    </w:p>
    <w:p w14:paraId="6223CFC2">
      <w:pPr>
        <w:adjustRightInd w:val="0"/>
        <w:snapToGrid w:val="0"/>
        <w:spacing w:line="360" w:lineRule="auto"/>
        <w:rPr>
          <w:rFonts w:ascii="Arial" w:hAnsi="Arial" w:cs="Arial"/>
          <w:b/>
          <w:bCs/>
          <w:sz w:val="18"/>
          <w:szCs w:val="18"/>
          <w:u w:val="single"/>
        </w:rPr>
      </w:pPr>
    </w:p>
    <w:p w14:paraId="56ADE81A">
      <w:pPr>
        <w:adjustRightInd w:val="0"/>
        <w:snapToGrid w:val="0"/>
        <w:spacing w:line="360" w:lineRule="auto"/>
        <w:rPr>
          <w:rFonts w:ascii="Arial" w:hAnsi="Arial" w:cs="Arial"/>
          <w:b/>
          <w:sz w:val="24"/>
          <w:u w:val="single"/>
        </w:rPr>
      </w:pPr>
      <w:r>
        <w:rPr>
          <w:rFonts w:ascii="Arial" w:hAnsi="Arial" w:cs="Arial"/>
          <w:b/>
          <w:sz w:val="24"/>
        </w:rPr>
        <w:t>投标单位名称及盖章：</w:t>
      </w:r>
    </w:p>
    <w:p w14:paraId="1FFADBA8">
      <w:pPr>
        <w:rPr>
          <w:rFonts w:ascii="宋体" w:hAnsi="宋体"/>
          <w:b/>
          <w:sz w:val="24"/>
          <w:szCs w:val="24"/>
        </w:rPr>
      </w:pPr>
    </w:p>
    <w:p w14:paraId="51659040">
      <w:pPr>
        <w:rPr>
          <w:rFonts w:ascii="宋体" w:hAnsi="宋体"/>
          <w:b/>
          <w:sz w:val="24"/>
          <w:szCs w:val="24"/>
        </w:rPr>
      </w:pPr>
      <w:r>
        <w:rPr>
          <w:rFonts w:hint="eastAsia" w:ascii="宋体" w:hAnsi="宋体"/>
          <w:b/>
          <w:sz w:val="24"/>
          <w:szCs w:val="24"/>
        </w:rPr>
        <w:t>投标日期：</w:t>
      </w:r>
    </w:p>
    <w:p w14:paraId="16B7B47E">
      <w:pPr>
        <w:ind w:firstLine="482" w:firstLineChars="200"/>
        <w:rPr>
          <w:rFonts w:hint="eastAsia" w:ascii="宋体" w:hAnsi="宋体" w:eastAsia="宋体"/>
          <w:b/>
          <w:sz w:val="24"/>
          <w:szCs w:val="24"/>
          <w:lang w:eastAsia="zh-CN"/>
        </w:rPr>
      </w:pPr>
    </w:p>
    <w:p w14:paraId="45B0072C">
      <w:pPr>
        <w:pStyle w:val="14"/>
        <w:rPr>
          <w:rFonts w:hint="eastAsia"/>
          <w:lang w:eastAsia="zh-CN"/>
        </w:rPr>
      </w:pPr>
    </w:p>
    <w:p w14:paraId="148436E0">
      <w:pPr>
        <w:ind w:firstLine="482" w:firstLineChars="200"/>
        <w:rPr>
          <w:rFonts w:hint="eastAsia" w:ascii="宋体" w:hAnsi="宋体"/>
          <w:b/>
          <w:sz w:val="24"/>
          <w:szCs w:val="24"/>
        </w:rPr>
      </w:pPr>
    </w:p>
    <w:p w14:paraId="08369A5E">
      <w:pPr>
        <w:ind w:firstLine="482" w:firstLineChars="200"/>
        <w:rPr>
          <w:rFonts w:hint="eastAsia" w:ascii="宋体" w:hAnsi="宋体"/>
          <w:b/>
          <w:sz w:val="24"/>
          <w:szCs w:val="24"/>
        </w:rPr>
      </w:pPr>
    </w:p>
    <w:p w14:paraId="067380C6">
      <w:pPr>
        <w:ind w:firstLine="482" w:firstLineChars="200"/>
        <w:rPr>
          <w:rFonts w:hint="eastAsia" w:ascii="宋体" w:hAnsi="宋体"/>
          <w:b/>
          <w:sz w:val="24"/>
          <w:szCs w:val="24"/>
        </w:rPr>
      </w:pPr>
    </w:p>
    <w:p w14:paraId="7CE6C460">
      <w:pPr>
        <w:ind w:firstLine="482" w:firstLineChars="200"/>
        <w:rPr>
          <w:rFonts w:hint="eastAsia" w:ascii="宋体" w:hAnsi="宋体"/>
          <w:b/>
          <w:sz w:val="24"/>
          <w:szCs w:val="24"/>
        </w:rPr>
      </w:pPr>
    </w:p>
    <w:p w14:paraId="2A5A9503">
      <w:pPr>
        <w:ind w:firstLine="482" w:firstLineChars="200"/>
        <w:rPr>
          <w:rFonts w:hint="eastAsia" w:ascii="宋体" w:hAnsi="宋体"/>
          <w:b/>
          <w:sz w:val="24"/>
          <w:szCs w:val="24"/>
        </w:rPr>
      </w:pPr>
    </w:p>
    <w:p w14:paraId="53DF0E55">
      <w:pPr>
        <w:ind w:firstLine="482" w:firstLineChars="200"/>
        <w:rPr>
          <w:rFonts w:hint="eastAsia" w:ascii="宋体" w:hAnsi="宋体"/>
          <w:b/>
          <w:sz w:val="24"/>
          <w:szCs w:val="24"/>
        </w:rPr>
      </w:pPr>
    </w:p>
    <w:p w14:paraId="074DC252">
      <w:pPr>
        <w:ind w:firstLine="482" w:firstLineChars="200"/>
        <w:rPr>
          <w:rFonts w:hint="eastAsia" w:ascii="宋体" w:hAnsi="宋体"/>
          <w:b/>
          <w:sz w:val="24"/>
          <w:szCs w:val="24"/>
        </w:rPr>
      </w:pPr>
    </w:p>
    <w:p w14:paraId="75420FCC">
      <w:pPr>
        <w:ind w:firstLine="482" w:firstLineChars="200"/>
        <w:rPr>
          <w:rFonts w:hint="eastAsia" w:ascii="宋体" w:hAnsi="宋体"/>
          <w:b/>
          <w:sz w:val="24"/>
          <w:szCs w:val="24"/>
        </w:rPr>
      </w:pPr>
    </w:p>
    <w:p w14:paraId="7F05367B">
      <w:pPr>
        <w:ind w:firstLine="482" w:firstLineChars="200"/>
        <w:rPr>
          <w:rFonts w:hint="eastAsia" w:ascii="宋体" w:hAnsi="宋体"/>
          <w:b/>
          <w:sz w:val="24"/>
          <w:szCs w:val="24"/>
        </w:rPr>
      </w:pPr>
    </w:p>
    <w:p w14:paraId="60331788">
      <w:pPr>
        <w:ind w:firstLine="482" w:firstLineChars="200"/>
        <w:rPr>
          <w:rFonts w:hint="eastAsia" w:ascii="宋体" w:hAnsi="宋体"/>
          <w:b/>
          <w:sz w:val="24"/>
          <w:szCs w:val="24"/>
        </w:rPr>
      </w:pPr>
    </w:p>
    <w:p w14:paraId="4DF63A54">
      <w:pPr>
        <w:rPr>
          <w:rFonts w:hint="eastAsia" w:ascii="宋体" w:hAnsi="宋体"/>
          <w:b/>
          <w:sz w:val="24"/>
          <w:szCs w:val="24"/>
        </w:rPr>
      </w:pPr>
    </w:p>
    <w:p w14:paraId="263D1CEB">
      <w:pPr>
        <w:rPr>
          <w:rFonts w:ascii="宋体" w:hAnsi="宋体"/>
          <w:b/>
          <w:sz w:val="24"/>
          <w:szCs w:val="24"/>
        </w:rPr>
      </w:pPr>
      <w:r>
        <w:rPr>
          <w:rFonts w:hint="eastAsia" w:ascii="宋体" w:hAnsi="宋体"/>
          <w:b/>
          <w:sz w:val="24"/>
          <w:szCs w:val="24"/>
        </w:rPr>
        <w:t>三、法定代表人身份证明范本（适用于法定代表人亲自投标）</w:t>
      </w:r>
    </w:p>
    <w:p w14:paraId="23E055C7">
      <w:pPr>
        <w:spacing w:line="360" w:lineRule="auto"/>
        <w:ind w:firstLine="562" w:firstLineChars="200"/>
        <w:jc w:val="center"/>
        <w:rPr>
          <w:rFonts w:ascii="宋体" w:hAnsi="宋体"/>
          <w:b/>
          <w:sz w:val="28"/>
          <w:szCs w:val="28"/>
        </w:rPr>
      </w:pPr>
      <w:r>
        <w:rPr>
          <w:rFonts w:hint="eastAsia" w:ascii="宋体" w:hAnsi="宋体"/>
          <w:b/>
          <w:sz w:val="28"/>
          <w:szCs w:val="28"/>
        </w:rPr>
        <w:t>法定代表人身份证明</w:t>
      </w:r>
    </w:p>
    <w:p w14:paraId="4BE89E9A">
      <w:pPr>
        <w:spacing w:line="360" w:lineRule="auto"/>
        <w:ind w:firstLine="420" w:firstLineChars="200"/>
        <w:rPr>
          <w:rFonts w:ascii="宋体" w:hAnsi="宋体"/>
        </w:rPr>
      </w:pPr>
      <w:r>
        <w:rPr>
          <w:rFonts w:hint="eastAsia" w:ascii="宋体" w:hAnsi="宋体"/>
        </w:rPr>
        <w:t>投标人名称：</w:t>
      </w:r>
    </w:p>
    <w:p w14:paraId="6D9FB7AA">
      <w:pPr>
        <w:spacing w:line="360" w:lineRule="auto"/>
        <w:ind w:firstLine="420" w:firstLineChars="200"/>
        <w:rPr>
          <w:rFonts w:ascii="宋体" w:hAnsi="宋体"/>
        </w:rPr>
      </w:pPr>
      <w:r>
        <w:rPr>
          <w:rFonts w:hint="eastAsia" w:ascii="宋体" w:hAnsi="宋体"/>
        </w:rPr>
        <w:t>单位性质：</w:t>
      </w:r>
    </w:p>
    <w:p w14:paraId="1DDD6673">
      <w:pPr>
        <w:spacing w:line="360" w:lineRule="auto"/>
        <w:ind w:firstLine="420" w:firstLineChars="200"/>
        <w:rPr>
          <w:rFonts w:ascii="宋体" w:hAnsi="宋体"/>
        </w:rPr>
      </w:pPr>
      <w:r>
        <w:rPr>
          <w:rFonts w:hint="eastAsia" w:ascii="宋体" w:hAnsi="宋体"/>
        </w:rPr>
        <w:t>地址：</w:t>
      </w:r>
    </w:p>
    <w:p w14:paraId="36FC2AA1">
      <w:pPr>
        <w:spacing w:line="360" w:lineRule="auto"/>
        <w:ind w:firstLine="420" w:firstLineChars="200"/>
        <w:rPr>
          <w:rFonts w:ascii="宋体" w:hAnsi="宋体"/>
        </w:rPr>
      </w:pPr>
      <w:r>
        <w:rPr>
          <w:rFonts w:hint="eastAsia" w:ascii="宋体" w:hAnsi="宋体"/>
        </w:rPr>
        <w:t>成立时间：   年   月   日</w:t>
      </w:r>
    </w:p>
    <w:p w14:paraId="513D599F">
      <w:pPr>
        <w:spacing w:line="360" w:lineRule="auto"/>
        <w:ind w:firstLine="420" w:firstLineChars="200"/>
        <w:rPr>
          <w:rFonts w:ascii="宋体" w:hAnsi="宋体"/>
        </w:rPr>
      </w:pPr>
      <w:r>
        <w:rPr>
          <w:rFonts w:hint="eastAsia" w:ascii="宋体" w:hAnsi="宋体"/>
        </w:rPr>
        <w:t>经营期限：</w:t>
      </w:r>
    </w:p>
    <w:p w14:paraId="70E642D9">
      <w:pPr>
        <w:spacing w:line="360" w:lineRule="auto"/>
        <w:ind w:firstLine="420" w:firstLineChars="200"/>
        <w:rPr>
          <w:rFonts w:ascii="宋体" w:hAnsi="宋体"/>
        </w:rPr>
      </w:pPr>
      <w:r>
        <w:rPr>
          <w:rFonts w:hint="eastAsia" w:ascii="宋体" w:hAnsi="宋体"/>
        </w:rPr>
        <w:t>姓名：</w:t>
      </w:r>
    </w:p>
    <w:p w14:paraId="0B17BA9A">
      <w:pPr>
        <w:spacing w:line="360" w:lineRule="auto"/>
        <w:ind w:firstLine="420" w:firstLineChars="200"/>
        <w:rPr>
          <w:rFonts w:ascii="宋体" w:hAnsi="宋体"/>
        </w:rPr>
      </w:pPr>
      <w:r>
        <w:rPr>
          <w:rFonts w:hint="eastAsia" w:ascii="宋体" w:hAnsi="宋体"/>
        </w:rPr>
        <w:t>性别：</w:t>
      </w:r>
    </w:p>
    <w:p w14:paraId="6EA598B1">
      <w:pPr>
        <w:spacing w:line="360" w:lineRule="auto"/>
        <w:ind w:firstLine="420" w:firstLineChars="200"/>
        <w:rPr>
          <w:rFonts w:ascii="宋体" w:hAnsi="宋体"/>
        </w:rPr>
      </w:pPr>
      <w:r>
        <w:rPr>
          <w:rFonts w:hint="eastAsia" w:ascii="宋体" w:hAnsi="宋体"/>
        </w:rPr>
        <w:t>年龄：</w:t>
      </w:r>
    </w:p>
    <w:p w14:paraId="244C2658">
      <w:pPr>
        <w:spacing w:line="360" w:lineRule="auto"/>
        <w:ind w:firstLine="420" w:firstLineChars="200"/>
        <w:rPr>
          <w:rFonts w:ascii="宋体" w:hAnsi="宋体"/>
        </w:rPr>
      </w:pPr>
      <w:r>
        <w:rPr>
          <w:rFonts w:hint="eastAsia" w:ascii="宋体" w:hAnsi="宋体"/>
        </w:rPr>
        <w:t>职务：</w:t>
      </w:r>
    </w:p>
    <w:p w14:paraId="30547518">
      <w:pPr>
        <w:spacing w:line="360" w:lineRule="auto"/>
        <w:ind w:firstLine="420" w:firstLineChars="200"/>
        <w:rPr>
          <w:rFonts w:ascii="宋体" w:hAnsi="宋体"/>
        </w:rPr>
      </w:pPr>
      <w:r>
        <w:rPr>
          <w:rFonts w:hint="eastAsia" w:ascii="宋体" w:hAnsi="宋体"/>
        </w:rPr>
        <w:t>系（投标人名称）的法定代表人。</w:t>
      </w:r>
    </w:p>
    <w:p w14:paraId="4F23530F">
      <w:pPr>
        <w:spacing w:line="360" w:lineRule="auto"/>
        <w:ind w:firstLine="840" w:firstLineChars="400"/>
        <w:rPr>
          <w:rFonts w:ascii="宋体" w:hAnsi="宋体"/>
        </w:rPr>
      </w:pPr>
      <w:r>
        <w:rPr>
          <w:rFonts w:hint="eastAsia" w:ascii="宋体" w:hAnsi="宋体"/>
        </w:rPr>
        <w:t>特此证明。</w:t>
      </w:r>
    </w:p>
    <w:p w14:paraId="0F3304EC">
      <w:pPr>
        <w:spacing w:line="360" w:lineRule="auto"/>
        <w:ind w:firstLine="420" w:firstLineChars="200"/>
        <w:rPr>
          <w:rFonts w:ascii="宋体" w:hAnsi="宋体"/>
        </w:rPr>
      </w:pPr>
      <w:r>
        <w:rPr>
          <w:rFonts w:hint="eastAsia" w:ascii="宋体" w:hAnsi="宋体"/>
        </w:rPr>
        <w:t>附：法定代表人身份证复印件</w:t>
      </w:r>
    </w:p>
    <w:p w14:paraId="5D4A2E85">
      <w:pPr>
        <w:spacing w:line="360" w:lineRule="auto"/>
        <w:rPr>
          <w:rFonts w:ascii="宋体" w:hAnsi="宋体"/>
        </w:rPr>
      </w:pPr>
    </w:p>
    <w:p w14:paraId="2102B94C">
      <w:pPr>
        <w:spacing w:line="360" w:lineRule="auto"/>
        <w:ind w:firstLine="4200" w:firstLineChars="2000"/>
        <w:rPr>
          <w:rFonts w:ascii="宋体" w:hAnsi="宋体"/>
        </w:rPr>
      </w:pPr>
      <w:r>
        <w:rPr>
          <w:rFonts w:hint="eastAsia" w:ascii="宋体" w:hAnsi="宋体"/>
        </w:rPr>
        <w:t>投标人：（盖单位章）</w:t>
      </w:r>
    </w:p>
    <w:p w14:paraId="5C01FDAE">
      <w:pPr>
        <w:spacing w:line="360" w:lineRule="auto"/>
        <w:ind w:firstLine="5250" w:firstLineChars="2500"/>
        <w:rPr>
          <w:rFonts w:ascii="宋体" w:hAnsi="宋体"/>
        </w:rPr>
      </w:pPr>
      <w:r>
        <w:rPr>
          <w:rFonts w:hint="eastAsia" w:ascii="宋体" w:hAnsi="宋体"/>
        </w:rPr>
        <w:t>年  月   日</w:t>
      </w:r>
    </w:p>
    <w:p w14:paraId="0517EFB8">
      <w:pPr>
        <w:spacing w:line="360" w:lineRule="auto"/>
        <w:ind w:firstLine="4620" w:firstLineChars="2200"/>
        <w:rPr>
          <w:rFonts w:ascii="宋体" w:hAnsi="宋体"/>
        </w:rPr>
      </w:pPr>
    </w:p>
    <w:p w14:paraId="414B71F2">
      <w:pPr>
        <w:spacing w:line="360" w:lineRule="auto"/>
        <w:ind w:firstLine="4620" w:firstLineChars="2200"/>
        <w:rPr>
          <w:rFonts w:ascii="宋体" w:hAnsi="宋体"/>
        </w:rPr>
      </w:pPr>
    </w:p>
    <w:p w14:paraId="119CD6EC">
      <w:pPr>
        <w:spacing w:line="400" w:lineRule="exact"/>
        <w:jc w:val="left"/>
        <w:rPr>
          <w:rFonts w:hint="eastAsia" w:ascii="宋体" w:hAnsi="宋体"/>
          <w:b/>
          <w:sz w:val="24"/>
          <w:szCs w:val="24"/>
        </w:rPr>
      </w:pPr>
    </w:p>
    <w:p w14:paraId="5C328660">
      <w:pPr>
        <w:spacing w:line="400" w:lineRule="exact"/>
        <w:jc w:val="left"/>
        <w:rPr>
          <w:rFonts w:hint="eastAsia" w:ascii="宋体" w:hAnsi="宋体"/>
          <w:b/>
          <w:sz w:val="24"/>
          <w:szCs w:val="24"/>
        </w:rPr>
      </w:pPr>
    </w:p>
    <w:p w14:paraId="54A3591B">
      <w:pPr>
        <w:spacing w:line="400" w:lineRule="exact"/>
        <w:jc w:val="left"/>
        <w:rPr>
          <w:rFonts w:hint="eastAsia" w:ascii="宋体" w:hAnsi="宋体"/>
          <w:b/>
          <w:sz w:val="24"/>
          <w:szCs w:val="24"/>
        </w:rPr>
      </w:pPr>
    </w:p>
    <w:p w14:paraId="40F51B81">
      <w:pPr>
        <w:spacing w:line="400" w:lineRule="exact"/>
        <w:jc w:val="left"/>
        <w:rPr>
          <w:rFonts w:hint="eastAsia" w:ascii="宋体" w:hAnsi="宋体"/>
          <w:b/>
          <w:sz w:val="24"/>
          <w:szCs w:val="24"/>
        </w:rPr>
      </w:pPr>
    </w:p>
    <w:p w14:paraId="0706ECF3">
      <w:pPr>
        <w:spacing w:line="400" w:lineRule="exact"/>
        <w:jc w:val="left"/>
        <w:rPr>
          <w:rFonts w:hint="eastAsia" w:ascii="宋体" w:hAnsi="宋体"/>
          <w:b/>
          <w:sz w:val="24"/>
          <w:szCs w:val="24"/>
        </w:rPr>
      </w:pPr>
    </w:p>
    <w:p w14:paraId="47DE3567">
      <w:pPr>
        <w:spacing w:line="400" w:lineRule="exact"/>
        <w:jc w:val="left"/>
        <w:rPr>
          <w:rFonts w:hint="eastAsia" w:ascii="宋体" w:hAnsi="宋体"/>
          <w:b/>
          <w:sz w:val="24"/>
          <w:szCs w:val="24"/>
        </w:rPr>
      </w:pPr>
    </w:p>
    <w:p w14:paraId="26DCA8F2">
      <w:pPr>
        <w:spacing w:line="400" w:lineRule="exact"/>
        <w:jc w:val="left"/>
        <w:rPr>
          <w:rFonts w:hint="eastAsia" w:ascii="宋体" w:hAnsi="宋体"/>
          <w:b/>
          <w:sz w:val="24"/>
          <w:szCs w:val="24"/>
        </w:rPr>
      </w:pPr>
    </w:p>
    <w:p w14:paraId="0FC1A626">
      <w:pPr>
        <w:spacing w:line="400" w:lineRule="exact"/>
        <w:jc w:val="left"/>
        <w:rPr>
          <w:rFonts w:hint="eastAsia" w:ascii="宋体" w:hAnsi="宋体"/>
          <w:b/>
          <w:sz w:val="24"/>
          <w:szCs w:val="24"/>
        </w:rPr>
      </w:pPr>
    </w:p>
    <w:p w14:paraId="6E81AD9A">
      <w:pPr>
        <w:spacing w:line="400" w:lineRule="exact"/>
        <w:jc w:val="left"/>
        <w:rPr>
          <w:rFonts w:hint="eastAsia" w:ascii="宋体" w:hAnsi="宋体"/>
          <w:b/>
          <w:sz w:val="24"/>
          <w:szCs w:val="24"/>
        </w:rPr>
      </w:pPr>
    </w:p>
    <w:p w14:paraId="3BD66958">
      <w:pPr>
        <w:spacing w:line="400" w:lineRule="exact"/>
        <w:jc w:val="left"/>
        <w:rPr>
          <w:rFonts w:hint="eastAsia" w:ascii="宋体" w:hAnsi="宋体"/>
          <w:b/>
          <w:sz w:val="24"/>
          <w:szCs w:val="24"/>
        </w:rPr>
      </w:pPr>
    </w:p>
    <w:p w14:paraId="11CF67EA">
      <w:pPr>
        <w:spacing w:line="400" w:lineRule="exact"/>
        <w:jc w:val="left"/>
        <w:rPr>
          <w:rFonts w:hint="eastAsia" w:ascii="宋体" w:hAnsi="宋体"/>
          <w:b/>
          <w:sz w:val="24"/>
          <w:szCs w:val="24"/>
        </w:rPr>
      </w:pPr>
    </w:p>
    <w:p w14:paraId="41452694">
      <w:pPr>
        <w:spacing w:line="400" w:lineRule="exact"/>
        <w:jc w:val="left"/>
        <w:rPr>
          <w:rFonts w:hint="eastAsia" w:ascii="宋体" w:hAnsi="宋体"/>
          <w:b/>
          <w:sz w:val="24"/>
          <w:szCs w:val="24"/>
        </w:rPr>
      </w:pPr>
    </w:p>
    <w:p w14:paraId="2B152C58">
      <w:pPr>
        <w:spacing w:line="400" w:lineRule="exact"/>
        <w:jc w:val="left"/>
        <w:rPr>
          <w:rFonts w:ascii="宋体" w:hAnsi="宋体"/>
          <w:b/>
          <w:sz w:val="24"/>
          <w:szCs w:val="24"/>
        </w:rPr>
      </w:pPr>
      <w:r>
        <w:rPr>
          <w:rFonts w:hint="eastAsia" w:ascii="宋体" w:hAnsi="宋体"/>
          <w:b/>
          <w:sz w:val="24"/>
          <w:szCs w:val="24"/>
        </w:rPr>
        <w:t>四、授权委托书范本（适用于委托代理人投标）</w:t>
      </w:r>
    </w:p>
    <w:p w14:paraId="789FFF76">
      <w:pPr>
        <w:spacing w:line="400" w:lineRule="exact"/>
        <w:jc w:val="center"/>
        <w:rPr>
          <w:rFonts w:ascii="宋体" w:hAnsi="宋体"/>
          <w:b/>
          <w:sz w:val="28"/>
          <w:szCs w:val="28"/>
        </w:rPr>
      </w:pPr>
    </w:p>
    <w:p w14:paraId="3F40A6FB">
      <w:pPr>
        <w:spacing w:line="400" w:lineRule="exact"/>
        <w:jc w:val="center"/>
        <w:rPr>
          <w:rFonts w:ascii="宋体" w:hAnsi="宋体"/>
          <w:b/>
          <w:sz w:val="28"/>
          <w:szCs w:val="28"/>
        </w:rPr>
      </w:pPr>
      <w:r>
        <w:rPr>
          <w:rFonts w:hint="eastAsia" w:ascii="宋体" w:hAnsi="宋体"/>
          <w:b/>
          <w:sz w:val="28"/>
          <w:szCs w:val="28"/>
        </w:rPr>
        <w:t>授权委托书</w:t>
      </w:r>
    </w:p>
    <w:p w14:paraId="066734CC">
      <w:pPr>
        <w:spacing w:line="360" w:lineRule="auto"/>
        <w:ind w:left="210" w:leftChars="100" w:firstLine="630" w:firstLineChars="300"/>
        <w:rPr>
          <w:rFonts w:ascii="宋体" w:hAnsi="宋体"/>
        </w:rPr>
      </w:pPr>
    </w:p>
    <w:p w14:paraId="49F905E3">
      <w:pPr>
        <w:spacing w:line="360" w:lineRule="auto"/>
        <w:ind w:firstLine="424" w:firstLineChars="202"/>
        <w:rPr>
          <w:rFonts w:cs="幼圆"/>
          <w:bCs/>
        </w:rPr>
      </w:pPr>
      <w:r>
        <w:rPr>
          <w:rFonts w:hint="eastAsia" w:ascii="宋体" w:hAnsi="宋体"/>
        </w:rPr>
        <w:t>本人系的法定代表人，现委托为我方代理人，代理人根据授权，以我方名义参与贵公司的投标（签署、澄清、说明、补正、递交、撤回、修改投标文件）、签订合同、</w:t>
      </w:r>
      <w:r>
        <w:rPr>
          <w:rFonts w:hint="eastAsia" w:cs="幼圆"/>
          <w:bCs/>
        </w:rPr>
        <w:t>履行合同并处理合同实施过程中的相关事宜。该代理人的一切行为，均代表本单位，与本单位的行为具有同等法律效力。本单位将承担该代理人行为的全部法律后果和法律责任。委托期限：自本授权委托书签订签署之日起至本工程质量保证期结束为止。</w:t>
      </w:r>
    </w:p>
    <w:p w14:paraId="46553952">
      <w:pPr>
        <w:spacing w:line="360" w:lineRule="auto"/>
        <w:ind w:left="-283" w:leftChars="-135" w:right="-483" w:rightChars="-230" w:firstLine="709" w:firstLineChars="338"/>
        <w:rPr>
          <w:rFonts w:ascii="宋体" w:hAnsi="宋体"/>
        </w:rPr>
      </w:pPr>
      <w:r>
        <w:rPr>
          <w:rFonts w:hint="eastAsia" w:ascii="宋体" w:hAnsi="宋体"/>
        </w:rPr>
        <w:t>代理人无转委托权。</w:t>
      </w:r>
    </w:p>
    <w:p w14:paraId="6C0C4B84">
      <w:pPr>
        <w:spacing w:line="360" w:lineRule="auto"/>
        <w:ind w:left="-283" w:leftChars="-135" w:right="-483" w:rightChars="-230" w:firstLine="709" w:firstLineChars="338"/>
        <w:rPr>
          <w:rFonts w:ascii="宋体" w:hAnsi="宋体"/>
        </w:rPr>
      </w:pPr>
      <w:r>
        <w:rPr>
          <w:rFonts w:hint="eastAsia" w:ascii="宋体" w:hAnsi="宋体"/>
        </w:rPr>
        <w:t>附：（1）法定代表人身份证复印件盖单位章；</w:t>
      </w:r>
    </w:p>
    <w:p w14:paraId="0018D1B5">
      <w:pPr>
        <w:spacing w:line="360" w:lineRule="auto"/>
        <w:ind w:right="-483" w:rightChars="-230" w:firstLine="735" w:firstLineChars="350"/>
        <w:rPr>
          <w:rFonts w:ascii="宋体" w:hAnsi="宋体"/>
        </w:rPr>
      </w:pPr>
      <w:r>
        <w:rPr>
          <w:rFonts w:hint="eastAsia" w:ascii="宋体" w:hAnsi="宋体"/>
        </w:rPr>
        <w:t>（2）委托代理人身份证复印件盖单位章。</w:t>
      </w:r>
    </w:p>
    <w:p w14:paraId="7085C980">
      <w:pPr>
        <w:spacing w:line="360" w:lineRule="auto"/>
        <w:rPr>
          <w:rFonts w:ascii="宋体" w:hAnsi="宋体"/>
        </w:rPr>
      </w:pPr>
    </w:p>
    <w:p w14:paraId="503B0738">
      <w:pPr>
        <w:spacing w:line="360" w:lineRule="auto"/>
        <w:ind w:firstLine="2730" w:firstLineChars="1300"/>
        <w:rPr>
          <w:rFonts w:ascii="宋体" w:hAnsi="宋体"/>
        </w:rPr>
      </w:pPr>
      <w:r>
        <w:rPr>
          <w:rFonts w:hint="eastAsia" w:ascii="宋体" w:hAnsi="宋体"/>
        </w:rPr>
        <w:t>投标人：（盖单位章）</w:t>
      </w:r>
    </w:p>
    <w:p w14:paraId="3964C46A">
      <w:pPr>
        <w:spacing w:line="360" w:lineRule="auto"/>
        <w:ind w:firstLine="2730" w:firstLineChars="1300"/>
        <w:rPr>
          <w:rFonts w:ascii="宋体" w:hAnsi="宋体"/>
        </w:rPr>
      </w:pPr>
      <w:r>
        <w:rPr>
          <w:rFonts w:hint="eastAsia" w:ascii="宋体" w:hAnsi="宋体"/>
        </w:rPr>
        <w:t>法定代表人：（签字并盖章）</w:t>
      </w:r>
    </w:p>
    <w:p w14:paraId="5F947E6E">
      <w:pPr>
        <w:spacing w:line="360" w:lineRule="auto"/>
        <w:ind w:firstLine="2730" w:firstLineChars="1300"/>
        <w:rPr>
          <w:rFonts w:ascii="宋体" w:hAnsi="宋体"/>
        </w:rPr>
      </w:pPr>
      <w:r>
        <w:rPr>
          <w:rFonts w:hint="eastAsia" w:ascii="宋体" w:hAnsi="宋体"/>
        </w:rPr>
        <w:t>委托代理人：（签字）</w:t>
      </w:r>
    </w:p>
    <w:p w14:paraId="3F46C684">
      <w:pPr>
        <w:spacing w:line="360" w:lineRule="auto"/>
        <w:ind w:firstLine="2730" w:firstLineChars="1300"/>
        <w:rPr>
          <w:rFonts w:ascii="宋体" w:hAnsi="宋体"/>
        </w:rPr>
      </w:pPr>
      <w:r>
        <w:rPr>
          <w:rFonts w:hint="eastAsia" w:ascii="宋体" w:hAnsi="宋体"/>
        </w:rPr>
        <w:t>委托代理人联系电话：（移动电话）</w:t>
      </w:r>
    </w:p>
    <w:p w14:paraId="2F25C53C">
      <w:pPr>
        <w:spacing w:line="360" w:lineRule="auto"/>
        <w:ind w:firstLine="2730" w:firstLineChars="1300"/>
        <w:rPr>
          <w:rFonts w:ascii="宋体" w:hAnsi="宋体"/>
        </w:rPr>
      </w:pPr>
      <w:r>
        <w:rPr>
          <w:rFonts w:hint="eastAsia" w:ascii="宋体" w:hAnsi="宋体"/>
        </w:rPr>
        <w:t>委托代理人电子邮箱：（E-mail地址）</w:t>
      </w:r>
    </w:p>
    <w:p w14:paraId="0F89B712">
      <w:pPr>
        <w:spacing w:line="360" w:lineRule="auto"/>
        <w:ind w:firstLine="6300" w:firstLineChars="3000"/>
        <w:rPr>
          <w:b/>
          <w:sz w:val="28"/>
          <w:szCs w:val="28"/>
        </w:rPr>
      </w:pPr>
      <w:r>
        <w:rPr>
          <w:rFonts w:hint="eastAsia" w:ascii="宋体" w:hAnsi="宋体"/>
        </w:rPr>
        <w:t>年   月   日</w:t>
      </w:r>
    </w:p>
    <w:sectPr>
      <w:headerReference r:id="rId8" w:type="default"/>
      <w:footerReference r:id="rId9"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9D51">
    <w:pPr>
      <w:jc w:val="right"/>
      <w:rPr>
        <w:rFonts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6F6E">
    <w:pPr>
      <w:pStyle w:val="21"/>
      <w:framePr w:wrap="around" w:vAnchor="text" w:hAnchor="margin" w:xAlign="right" w:y="1"/>
      <w:rPr>
        <w:rStyle w:val="33"/>
      </w:rPr>
    </w:pPr>
    <w:r>
      <w:fldChar w:fldCharType="begin"/>
    </w:r>
    <w:r>
      <w:rPr>
        <w:rStyle w:val="33"/>
      </w:rPr>
      <w:instrText xml:space="preserve">PAGE  </w:instrText>
    </w:r>
    <w:r>
      <w:fldChar w:fldCharType="end"/>
    </w:r>
  </w:p>
  <w:p w14:paraId="388E0AC0">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2DDE">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4E02F">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CE4E02F">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76B3">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B641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49B641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7BEFB">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58954">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0B58954">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7F3F2">
    <w:pPr>
      <w:pStyle w:val="22"/>
      <w:jc w:val="right"/>
      <w:rPr>
        <w:rFonts w:hint="default" w:ascii="宋体" w:hAnsi="宋体"/>
        <w:kern w:val="0"/>
        <w:sz w:val="28"/>
        <w:szCs w:val="28"/>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B3B8">
    <w:pPr>
      <w:pStyle w:val="22"/>
      <w:jc w:val="right"/>
      <w:rPr>
        <w:rFonts w:hint="default" w:ascii="宋体" w:hAnsi="宋体"/>
        <w:kern w:val="0"/>
        <w:sz w:val="28"/>
        <w:szCs w:val="28"/>
        <w:u w:val="none"/>
        <w:lang w:val="en-US" w:eastAsia="zh-CN"/>
      </w:rPr>
    </w:pPr>
    <w:r>
      <w:rPr>
        <w:rFonts w:hint="eastAsia"/>
        <w:lang w:val="en-US" w:eastAsia="zh-CN"/>
      </w:rPr>
      <w:t xml:space="preserve">                                                 </w:t>
    </w:r>
    <w:r>
      <w:rPr>
        <w:rFonts w:hint="eastAsia" w:ascii="宋体" w:hAnsi="宋体"/>
        <w:kern w:val="0"/>
        <w:sz w:val="28"/>
        <w:szCs w:val="28"/>
        <w:u w:val="none"/>
        <w:lang w:val="en-US" w:eastAsia="zh-CN"/>
      </w:rPr>
      <w:t>JSD2025</w:t>
    </w:r>
  </w:p>
  <w:p w14:paraId="4277B9FC">
    <w:pPr>
      <w:pStyle w:val="22"/>
      <w:jc w:val="both"/>
      <w:rPr>
        <w:rFonts w:hint="eastAsia" w:eastAsia="宋体"/>
        <w:lang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6C3CE"/>
    <w:multiLevelType w:val="singleLevel"/>
    <w:tmpl w:val="A696C3CE"/>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pStyle w:val="3"/>
      <w:lvlText w:val="%1"/>
      <w:lvlJc w:val="left"/>
      <w:pPr>
        <w:tabs>
          <w:tab w:val="left" w:pos="432"/>
        </w:tabs>
        <w:ind w:left="432" w:hanging="432"/>
      </w:pPr>
      <w:rPr>
        <w:rFonts w:hint="default"/>
      </w:rPr>
    </w:lvl>
    <w:lvl w:ilvl="1" w:tentative="0">
      <w:start w:val="1"/>
      <w:numFmt w:val="decimal"/>
      <w:pStyle w:val="2"/>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2UxMWY5OGQ0YWU2Y2VhY2JkNmI2YzBlNmNmODYifQ=="/>
  </w:docVars>
  <w:rsids>
    <w:rsidRoot w:val="00172A27"/>
    <w:rsid w:val="00000002"/>
    <w:rsid w:val="00002D75"/>
    <w:rsid w:val="000030AB"/>
    <w:rsid w:val="00003EF7"/>
    <w:rsid w:val="00010525"/>
    <w:rsid w:val="00012838"/>
    <w:rsid w:val="00014116"/>
    <w:rsid w:val="0001484C"/>
    <w:rsid w:val="0001610A"/>
    <w:rsid w:val="00021C03"/>
    <w:rsid w:val="000221BF"/>
    <w:rsid w:val="0002351F"/>
    <w:rsid w:val="00024AC9"/>
    <w:rsid w:val="00025FA0"/>
    <w:rsid w:val="00031A9B"/>
    <w:rsid w:val="0003366A"/>
    <w:rsid w:val="00035C75"/>
    <w:rsid w:val="000370BE"/>
    <w:rsid w:val="00037400"/>
    <w:rsid w:val="00043808"/>
    <w:rsid w:val="000441F3"/>
    <w:rsid w:val="000443D4"/>
    <w:rsid w:val="00044560"/>
    <w:rsid w:val="00044954"/>
    <w:rsid w:val="0004641F"/>
    <w:rsid w:val="00052B73"/>
    <w:rsid w:val="00053E30"/>
    <w:rsid w:val="00054945"/>
    <w:rsid w:val="000554D6"/>
    <w:rsid w:val="00056CA2"/>
    <w:rsid w:val="00060985"/>
    <w:rsid w:val="00060DBE"/>
    <w:rsid w:val="00062DA9"/>
    <w:rsid w:val="00064C79"/>
    <w:rsid w:val="00065823"/>
    <w:rsid w:val="00067A85"/>
    <w:rsid w:val="00067AAE"/>
    <w:rsid w:val="00067B70"/>
    <w:rsid w:val="00067CAF"/>
    <w:rsid w:val="00070033"/>
    <w:rsid w:val="000736D9"/>
    <w:rsid w:val="00074256"/>
    <w:rsid w:val="000765BE"/>
    <w:rsid w:val="00076A73"/>
    <w:rsid w:val="000802C5"/>
    <w:rsid w:val="00080F02"/>
    <w:rsid w:val="000810AD"/>
    <w:rsid w:val="0008231C"/>
    <w:rsid w:val="00083105"/>
    <w:rsid w:val="00083914"/>
    <w:rsid w:val="000844B2"/>
    <w:rsid w:val="00084538"/>
    <w:rsid w:val="00085E74"/>
    <w:rsid w:val="00085EC5"/>
    <w:rsid w:val="00086DDB"/>
    <w:rsid w:val="00090A32"/>
    <w:rsid w:val="00091B24"/>
    <w:rsid w:val="00092072"/>
    <w:rsid w:val="00093101"/>
    <w:rsid w:val="00096C2A"/>
    <w:rsid w:val="0009748C"/>
    <w:rsid w:val="000A0E3D"/>
    <w:rsid w:val="000A103F"/>
    <w:rsid w:val="000A1229"/>
    <w:rsid w:val="000A193E"/>
    <w:rsid w:val="000A38A3"/>
    <w:rsid w:val="000A4644"/>
    <w:rsid w:val="000A6157"/>
    <w:rsid w:val="000A650B"/>
    <w:rsid w:val="000A67A9"/>
    <w:rsid w:val="000A7A2F"/>
    <w:rsid w:val="000B0760"/>
    <w:rsid w:val="000B289E"/>
    <w:rsid w:val="000B2A86"/>
    <w:rsid w:val="000B2BD3"/>
    <w:rsid w:val="000B7A2C"/>
    <w:rsid w:val="000C03E9"/>
    <w:rsid w:val="000C0D75"/>
    <w:rsid w:val="000C24AD"/>
    <w:rsid w:val="000C323A"/>
    <w:rsid w:val="000C385D"/>
    <w:rsid w:val="000C4D2D"/>
    <w:rsid w:val="000C5C8A"/>
    <w:rsid w:val="000C6945"/>
    <w:rsid w:val="000C69B9"/>
    <w:rsid w:val="000C6BB8"/>
    <w:rsid w:val="000D023A"/>
    <w:rsid w:val="000D268B"/>
    <w:rsid w:val="000D33A3"/>
    <w:rsid w:val="000D571E"/>
    <w:rsid w:val="000D6239"/>
    <w:rsid w:val="000D6538"/>
    <w:rsid w:val="000E0C5E"/>
    <w:rsid w:val="000E3436"/>
    <w:rsid w:val="000E377B"/>
    <w:rsid w:val="000E4337"/>
    <w:rsid w:val="000E43E7"/>
    <w:rsid w:val="000E75AB"/>
    <w:rsid w:val="000F0095"/>
    <w:rsid w:val="000F10ED"/>
    <w:rsid w:val="000F155E"/>
    <w:rsid w:val="000F24D4"/>
    <w:rsid w:val="000F2E76"/>
    <w:rsid w:val="000F39DA"/>
    <w:rsid w:val="000F3C87"/>
    <w:rsid w:val="000F67C2"/>
    <w:rsid w:val="000F70F8"/>
    <w:rsid w:val="001009A0"/>
    <w:rsid w:val="00102F26"/>
    <w:rsid w:val="00103609"/>
    <w:rsid w:val="0010607B"/>
    <w:rsid w:val="00107BD8"/>
    <w:rsid w:val="00112356"/>
    <w:rsid w:val="00112A42"/>
    <w:rsid w:val="00116564"/>
    <w:rsid w:val="00117A31"/>
    <w:rsid w:val="001210C2"/>
    <w:rsid w:val="001216CB"/>
    <w:rsid w:val="00121924"/>
    <w:rsid w:val="00122393"/>
    <w:rsid w:val="00122D37"/>
    <w:rsid w:val="001239F4"/>
    <w:rsid w:val="001250B7"/>
    <w:rsid w:val="00125B36"/>
    <w:rsid w:val="001268E7"/>
    <w:rsid w:val="001272A9"/>
    <w:rsid w:val="00132251"/>
    <w:rsid w:val="0013336D"/>
    <w:rsid w:val="00133C41"/>
    <w:rsid w:val="00134110"/>
    <w:rsid w:val="001341A5"/>
    <w:rsid w:val="00134B15"/>
    <w:rsid w:val="001354F7"/>
    <w:rsid w:val="00135B48"/>
    <w:rsid w:val="00135E2E"/>
    <w:rsid w:val="00136FA5"/>
    <w:rsid w:val="00140119"/>
    <w:rsid w:val="001414AD"/>
    <w:rsid w:val="0014241D"/>
    <w:rsid w:val="00142605"/>
    <w:rsid w:val="00142E5E"/>
    <w:rsid w:val="00145B64"/>
    <w:rsid w:val="00145BCF"/>
    <w:rsid w:val="001472F2"/>
    <w:rsid w:val="001477A8"/>
    <w:rsid w:val="0015090A"/>
    <w:rsid w:val="00150F65"/>
    <w:rsid w:val="001514F5"/>
    <w:rsid w:val="0015405C"/>
    <w:rsid w:val="00156832"/>
    <w:rsid w:val="001571B9"/>
    <w:rsid w:val="0015752D"/>
    <w:rsid w:val="00160DCF"/>
    <w:rsid w:val="00162FD2"/>
    <w:rsid w:val="0016686A"/>
    <w:rsid w:val="001669F1"/>
    <w:rsid w:val="001672AB"/>
    <w:rsid w:val="00172A27"/>
    <w:rsid w:val="00173B03"/>
    <w:rsid w:val="00173D04"/>
    <w:rsid w:val="0018135A"/>
    <w:rsid w:val="00181CB4"/>
    <w:rsid w:val="0018310E"/>
    <w:rsid w:val="0018320E"/>
    <w:rsid w:val="00183B55"/>
    <w:rsid w:val="0018408E"/>
    <w:rsid w:val="0018484D"/>
    <w:rsid w:val="00185196"/>
    <w:rsid w:val="001855E1"/>
    <w:rsid w:val="001856F9"/>
    <w:rsid w:val="00185AD4"/>
    <w:rsid w:val="00186154"/>
    <w:rsid w:val="00186F80"/>
    <w:rsid w:val="00187E23"/>
    <w:rsid w:val="00191188"/>
    <w:rsid w:val="00192332"/>
    <w:rsid w:val="00193FF1"/>
    <w:rsid w:val="001964C3"/>
    <w:rsid w:val="001A29E6"/>
    <w:rsid w:val="001A5B83"/>
    <w:rsid w:val="001A5FF3"/>
    <w:rsid w:val="001A672A"/>
    <w:rsid w:val="001A6954"/>
    <w:rsid w:val="001A70AF"/>
    <w:rsid w:val="001A71E9"/>
    <w:rsid w:val="001A737C"/>
    <w:rsid w:val="001B129C"/>
    <w:rsid w:val="001B1B97"/>
    <w:rsid w:val="001B2FC1"/>
    <w:rsid w:val="001B55B7"/>
    <w:rsid w:val="001B6E60"/>
    <w:rsid w:val="001B794B"/>
    <w:rsid w:val="001C0C7B"/>
    <w:rsid w:val="001C19CA"/>
    <w:rsid w:val="001C2482"/>
    <w:rsid w:val="001C4E2E"/>
    <w:rsid w:val="001C60E5"/>
    <w:rsid w:val="001D0F9F"/>
    <w:rsid w:val="001D1926"/>
    <w:rsid w:val="001D5FC3"/>
    <w:rsid w:val="001D64C5"/>
    <w:rsid w:val="001E0911"/>
    <w:rsid w:val="001E2434"/>
    <w:rsid w:val="001E254C"/>
    <w:rsid w:val="001E3E3E"/>
    <w:rsid w:val="001E4508"/>
    <w:rsid w:val="001E4A48"/>
    <w:rsid w:val="001E6289"/>
    <w:rsid w:val="001E7628"/>
    <w:rsid w:val="001F1B2A"/>
    <w:rsid w:val="001F3390"/>
    <w:rsid w:val="001F3923"/>
    <w:rsid w:val="001F5897"/>
    <w:rsid w:val="001F5AB2"/>
    <w:rsid w:val="001F654C"/>
    <w:rsid w:val="001F6E01"/>
    <w:rsid w:val="00200511"/>
    <w:rsid w:val="00201856"/>
    <w:rsid w:val="002018E5"/>
    <w:rsid w:val="00201B56"/>
    <w:rsid w:val="00204C78"/>
    <w:rsid w:val="00205A53"/>
    <w:rsid w:val="002063FC"/>
    <w:rsid w:val="00213113"/>
    <w:rsid w:val="00213CEA"/>
    <w:rsid w:val="00214548"/>
    <w:rsid w:val="00216020"/>
    <w:rsid w:val="00216761"/>
    <w:rsid w:val="00223058"/>
    <w:rsid w:val="002278B0"/>
    <w:rsid w:val="002334EB"/>
    <w:rsid w:val="00233BD1"/>
    <w:rsid w:val="0023502B"/>
    <w:rsid w:val="00235A24"/>
    <w:rsid w:val="00235DB0"/>
    <w:rsid w:val="0023688E"/>
    <w:rsid w:val="0023749D"/>
    <w:rsid w:val="00240097"/>
    <w:rsid w:val="002408A3"/>
    <w:rsid w:val="00241B06"/>
    <w:rsid w:val="002444AA"/>
    <w:rsid w:val="002521C2"/>
    <w:rsid w:val="00252B68"/>
    <w:rsid w:val="00253AEA"/>
    <w:rsid w:val="002555AB"/>
    <w:rsid w:val="00256B7F"/>
    <w:rsid w:val="00261DB6"/>
    <w:rsid w:val="00262DB8"/>
    <w:rsid w:val="00263001"/>
    <w:rsid w:val="00263A27"/>
    <w:rsid w:val="00266766"/>
    <w:rsid w:val="00270BA9"/>
    <w:rsid w:val="00273393"/>
    <w:rsid w:val="002734E1"/>
    <w:rsid w:val="002734F2"/>
    <w:rsid w:val="00275F6C"/>
    <w:rsid w:val="002809F4"/>
    <w:rsid w:val="00280B04"/>
    <w:rsid w:val="002812B6"/>
    <w:rsid w:val="00281509"/>
    <w:rsid w:val="002839E3"/>
    <w:rsid w:val="00283E54"/>
    <w:rsid w:val="002848E4"/>
    <w:rsid w:val="00285641"/>
    <w:rsid w:val="002861C9"/>
    <w:rsid w:val="002869F8"/>
    <w:rsid w:val="00287C9A"/>
    <w:rsid w:val="00290CA5"/>
    <w:rsid w:val="002910B7"/>
    <w:rsid w:val="00291E91"/>
    <w:rsid w:val="0029303D"/>
    <w:rsid w:val="0029419B"/>
    <w:rsid w:val="00294684"/>
    <w:rsid w:val="0029557E"/>
    <w:rsid w:val="0029593C"/>
    <w:rsid w:val="002972DE"/>
    <w:rsid w:val="002A027E"/>
    <w:rsid w:val="002A0545"/>
    <w:rsid w:val="002A0663"/>
    <w:rsid w:val="002A2D51"/>
    <w:rsid w:val="002A3998"/>
    <w:rsid w:val="002A3BEF"/>
    <w:rsid w:val="002A5502"/>
    <w:rsid w:val="002A5C36"/>
    <w:rsid w:val="002A5D7B"/>
    <w:rsid w:val="002A6206"/>
    <w:rsid w:val="002A65FF"/>
    <w:rsid w:val="002A660A"/>
    <w:rsid w:val="002A73A9"/>
    <w:rsid w:val="002B1038"/>
    <w:rsid w:val="002B146E"/>
    <w:rsid w:val="002B1F55"/>
    <w:rsid w:val="002B23CA"/>
    <w:rsid w:val="002B3C30"/>
    <w:rsid w:val="002B4387"/>
    <w:rsid w:val="002B6786"/>
    <w:rsid w:val="002B6A0E"/>
    <w:rsid w:val="002C0DC5"/>
    <w:rsid w:val="002C1F9F"/>
    <w:rsid w:val="002C2D65"/>
    <w:rsid w:val="002C2E09"/>
    <w:rsid w:val="002C3AB9"/>
    <w:rsid w:val="002C4253"/>
    <w:rsid w:val="002C4A8C"/>
    <w:rsid w:val="002C4B19"/>
    <w:rsid w:val="002C6AFA"/>
    <w:rsid w:val="002D0704"/>
    <w:rsid w:val="002D120B"/>
    <w:rsid w:val="002D19CE"/>
    <w:rsid w:val="002D1A48"/>
    <w:rsid w:val="002D2F49"/>
    <w:rsid w:val="002D33B7"/>
    <w:rsid w:val="002D4EB0"/>
    <w:rsid w:val="002D5DC3"/>
    <w:rsid w:val="002D6350"/>
    <w:rsid w:val="002D6718"/>
    <w:rsid w:val="002E0276"/>
    <w:rsid w:val="002E1328"/>
    <w:rsid w:val="002E30DE"/>
    <w:rsid w:val="002E5E61"/>
    <w:rsid w:val="002E6AAC"/>
    <w:rsid w:val="002E6AC2"/>
    <w:rsid w:val="002F0038"/>
    <w:rsid w:val="002F0CFB"/>
    <w:rsid w:val="002F2319"/>
    <w:rsid w:val="002F2883"/>
    <w:rsid w:val="002F2E5E"/>
    <w:rsid w:val="002F5E6B"/>
    <w:rsid w:val="002F6837"/>
    <w:rsid w:val="002F70CF"/>
    <w:rsid w:val="00302BE1"/>
    <w:rsid w:val="00302D70"/>
    <w:rsid w:val="003038E7"/>
    <w:rsid w:val="00303D2E"/>
    <w:rsid w:val="00304082"/>
    <w:rsid w:val="00307C72"/>
    <w:rsid w:val="00314B6E"/>
    <w:rsid w:val="00314F61"/>
    <w:rsid w:val="00315718"/>
    <w:rsid w:val="00317015"/>
    <w:rsid w:val="0032370E"/>
    <w:rsid w:val="003248A5"/>
    <w:rsid w:val="00324E8B"/>
    <w:rsid w:val="003269C5"/>
    <w:rsid w:val="00327763"/>
    <w:rsid w:val="00327990"/>
    <w:rsid w:val="00330295"/>
    <w:rsid w:val="0033077B"/>
    <w:rsid w:val="00330876"/>
    <w:rsid w:val="0033135F"/>
    <w:rsid w:val="003316FA"/>
    <w:rsid w:val="00331D9C"/>
    <w:rsid w:val="00331FC7"/>
    <w:rsid w:val="00333BFE"/>
    <w:rsid w:val="00334ABF"/>
    <w:rsid w:val="00334DF6"/>
    <w:rsid w:val="00337E5D"/>
    <w:rsid w:val="00337ED2"/>
    <w:rsid w:val="00340F5C"/>
    <w:rsid w:val="00341727"/>
    <w:rsid w:val="00344ACF"/>
    <w:rsid w:val="0034633C"/>
    <w:rsid w:val="00346F6B"/>
    <w:rsid w:val="0034731B"/>
    <w:rsid w:val="0035045D"/>
    <w:rsid w:val="00350EC7"/>
    <w:rsid w:val="00351615"/>
    <w:rsid w:val="00352A4C"/>
    <w:rsid w:val="00353BF1"/>
    <w:rsid w:val="00353F48"/>
    <w:rsid w:val="00354873"/>
    <w:rsid w:val="0036006A"/>
    <w:rsid w:val="003615E5"/>
    <w:rsid w:val="003617AB"/>
    <w:rsid w:val="003636B0"/>
    <w:rsid w:val="0036392D"/>
    <w:rsid w:val="00363F84"/>
    <w:rsid w:val="00364BB0"/>
    <w:rsid w:val="00364D30"/>
    <w:rsid w:val="00371780"/>
    <w:rsid w:val="00371CBA"/>
    <w:rsid w:val="003728BE"/>
    <w:rsid w:val="00373913"/>
    <w:rsid w:val="00373A93"/>
    <w:rsid w:val="00374304"/>
    <w:rsid w:val="00375719"/>
    <w:rsid w:val="003765BD"/>
    <w:rsid w:val="00380FB6"/>
    <w:rsid w:val="00382AEE"/>
    <w:rsid w:val="00387D03"/>
    <w:rsid w:val="00391649"/>
    <w:rsid w:val="003928D9"/>
    <w:rsid w:val="00393C4F"/>
    <w:rsid w:val="00393C5D"/>
    <w:rsid w:val="00394173"/>
    <w:rsid w:val="00395EA7"/>
    <w:rsid w:val="00395FA4"/>
    <w:rsid w:val="0039729C"/>
    <w:rsid w:val="003A2AA3"/>
    <w:rsid w:val="003A6CB9"/>
    <w:rsid w:val="003A709F"/>
    <w:rsid w:val="003A70CA"/>
    <w:rsid w:val="003A7AEE"/>
    <w:rsid w:val="003B00AC"/>
    <w:rsid w:val="003B2A77"/>
    <w:rsid w:val="003B2B4A"/>
    <w:rsid w:val="003B303E"/>
    <w:rsid w:val="003B3BDB"/>
    <w:rsid w:val="003B3C6F"/>
    <w:rsid w:val="003B6146"/>
    <w:rsid w:val="003B681B"/>
    <w:rsid w:val="003C2752"/>
    <w:rsid w:val="003C31D5"/>
    <w:rsid w:val="003C47E0"/>
    <w:rsid w:val="003C5AB7"/>
    <w:rsid w:val="003C5F20"/>
    <w:rsid w:val="003C62EA"/>
    <w:rsid w:val="003C6DC0"/>
    <w:rsid w:val="003D285E"/>
    <w:rsid w:val="003D32D7"/>
    <w:rsid w:val="003D4EA2"/>
    <w:rsid w:val="003D58C1"/>
    <w:rsid w:val="003E2C54"/>
    <w:rsid w:val="003E354C"/>
    <w:rsid w:val="003E3C23"/>
    <w:rsid w:val="003E3F01"/>
    <w:rsid w:val="003E4ACA"/>
    <w:rsid w:val="003E66D7"/>
    <w:rsid w:val="003E7748"/>
    <w:rsid w:val="003E7920"/>
    <w:rsid w:val="003F00AB"/>
    <w:rsid w:val="003F0B49"/>
    <w:rsid w:val="003F1268"/>
    <w:rsid w:val="003F1411"/>
    <w:rsid w:val="003F664C"/>
    <w:rsid w:val="003F68EE"/>
    <w:rsid w:val="003F6933"/>
    <w:rsid w:val="003F7860"/>
    <w:rsid w:val="00400EAB"/>
    <w:rsid w:val="004021A0"/>
    <w:rsid w:val="00402706"/>
    <w:rsid w:val="0040579F"/>
    <w:rsid w:val="00406ED2"/>
    <w:rsid w:val="00410014"/>
    <w:rsid w:val="004103D0"/>
    <w:rsid w:val="004107AA"/>
    <w:rsid w:val="00410879"/>
    <w:rsid w:val="00410959"/>
    <w:rsid w:val="00411AE6"/>
    <w:rsid w:val="004132BC"/>
    <w:rsid w:val="00413331"/>
    <w:rsid w:val="00413F86"/>
    <w:rsid w:val="004140BA"/>
    <w:rsid w:val="004149B1"/>
    <w:rsid w:val="004154F2"/>
    <w:rsid w:val="00415EF5"/>
    <w:rsid w:val="004173D4"/>
    <w:rsid w:val="004177EC"/>
    <w:rsid w:val="004205DE"/>
    <w:rsid w:val="00421AC3"/>
    <w:rsid w:val="004220DC"/>
    <w:rsid w:val="00422899"/>
    <w:rsid w:val="00423C69"/>
    <w:rsid w:val="00425AD5"/>
    <w:rsid w:val="00426C6C"/>
    <w:rsid w:val="0042713C"/>
    <w:rsid w:val="00430779"/>
    <w:rsid w:val="00432278"/>
    <w:rsid w:val="00432DFC"/>
    <w:rsid w:val="00434A0B"/>
    <w:rsid w:val="00434BD1"/>
    <w:rsid w:val="00435423"/>
    <w:rsid w:val="00435B31"/>
    <w:rsid w:val="00436004"/>
    <w:rsid w:val="00437FD4"/>
    <w:rsid w:val="004418AA"/>
    <w:rsid w:val="0044394A"/>
    <w:rsid w:val="00444EE6"/>
    <w:rsid w:val="004458E0"/>
    <w:rsid w:val="00447047"/>
    <w:rsid w:val="00447236"/>
    <w:rsid w:val="004536B7"/>
    <w:rsid w:val="004541AE"/>
    <w:rsid w:val="00454462"/>
    <w:rsid w:val="00457B95"/>
    <w:rsid w:val="00462DFD"/>
    <w:rsid w:val="00462EE0"/>
    <w:rsid w:val="00463515"/>
    <w:rsid w:val="00465757"/>
    <w:rsid w:val="00466889"/>
    <w:rsid w:val="004674BE"/>
    <w:rsid w:val="00470808"/>
    <w:rsid w:val="00477EA5"/>
    <w:rsid w:val="0048179F"/>
    <w:rsid w:val="004823AA"/>
    <w:rsid w:val="004840E3"/>
    <w:rsid w:val="0048434A"/>
    <w:rsid w:val="00486EA7"/>
    <w:rsid w:val="0048776C"/>
    <w:rsid w:val="00493FA2"/>
    <w:rsid w:val="00495D5A"/>
    <w:rsid w:val="00495F8C"/>
    <w:rsid w:val="004964AA"/>
    <w:rsid w:val="004966DA"/>
    <w:rsid w:val="004A01D6"/>
    <w:rsid w:val="004A065E"/>
    <w:rsid w:val="004A1484"/>
    <w:rsid w:val="004A2261"/>
    <w:rsid w:val="004A24ED"/>
    <w:rsid w:val="004A3A63"/>
    <w:rsid w:val="004A7C79"/>
    <w:rsid w:val="004A7EAF"/>
    <w:rsid w:val="004B0009"/>
    <w:rsid w:val="004B206A"/>
    <w:rsid w:val="004B5FA0"/>
    <w:rsid w:val="004B78F2"/>
    <w:rsid w:val="004B7DD7"/>
    <w:rsid w:val="004C046D"/>
    <w:rsid w:val="004C1BAE"/>
    <w:rsid w:val="004C1D84"/>
    <w:rsid w:val="004C2850"/>
    <w:rsid w:val="004C5024"/>
    <w:rsid w:val="004C5619"/>
    <w:rsid w:val="004C5EAA"/>
    <w:rsid w:val="004D24D7"/>
    <w:rsid w:val="004D33BE"/>
    <w:rsid w:val="004D3973"/>
    <w:rsid w:val="004D58C5"/>
    <w:rsid w:val="004D640D"/>
    <w:rsid w:val="004D6E0B"/>
    <w:rsid w:val="004E30F3"/>
    <w:rsid w:val="004E3A02"/>
    <w:rsid w:val="004E4CF4"/>
    <w:rsid w:val="004E4D37"/>
    <w:rsid w:val="004F0DE4"/>
    <w:rsid w:val="004F15A9"/>
    <w:rsid w:val="004F36AD"/>
    <w:rsid w:val="004F3711"/>
    <w:rsid w:val="004F3D2A"/>
    <w:rsid w:val="004F59E9"/>
    <w:rsid w:val="004F70DF"/>
    <w:rsid w:val="004F7B91"/>
    <w:rsid w:val="005007B8"/>
    <w:rsid w:val="00500BF5"/>
    <w:rsid w:val="00501E84"/>
    <w:rsid w:val="0050370E"/>
    <w:rsid w:val="0050475A"/>
    <w:rsid w:val="00504AAB"/>
    <w:rsid w:val="00505CCE"/>
    <w:rsid w:val="00506EE8"/>
    <w:rsid w:val="00507BEA"/>
    <w:rsid w:val="00512BCF"/>
    <w:rsid w:val="00513A42"/>
    <w:rsid w:val="0051509D"/>
    <w:rsid w:val="00516F3A"/>
    <w:rsid w:val="005173BB"/>
    <w:rsid w:val="00517E7B"/>
    <w:rsid w:val="00517F3A"/>
    <w:rsid w:val="00517FF1"/>
    <w:rsid w:val="00521BAE"/>
    <w:rsid w:val="00523E1C"/>
    <w:rsid w:val="0052547E"/>
    <w:rsid w:val="005257EB"/>
    <w:rsid w:val="00527237"/>
    <w:rsid w:val="005300CE"/>
    <w:rsid w:val="00530AD8"/>
    <w:rsid w:val="005320DF"/>
    <w:rsid w:val="005324EF"/>
    <w:rsid w:val="00534EEC"/>
    <w:rsid w:val="00535D2F"/>
    <w:rsid w:val="00536E46"/>
    <w:rsid w:val="0053701C"/>
    <w:rsid w:val="005376EB"/>
    <w:rsid w:val="005378A2"/>
    <w:rsid w:val="00540CE4"/>
    <w:rsid w:val="00541B61"/>
    <w:rsid w:val="00541D22"/>
    <w:rsid w:val="00544DBE"/>
    <w:rsid w:val="00544DCD"/>
    <w:rsid w:val="0054595E"/>
    <w:rsid w:val="005469AC"/>
    <w:rsid w:val="00546F9F"/>
    <w:rsid w:val="00547EFF"/>
    <w:rsid w:val="00551DBF"/>
    <w:rsid w:val="00552AFA"/>
    <w:rsid w:val="00552CE8"/>
    <w:rsid w:val="00552ECB"/>
    <w:rsid w:val="00553843"/>
    <w:rsid w:val="00554A81"/>
    <w:rsid w:val="005579B7"/>
    <w:rsid w:val="00557B55"/>
    <w:rsid w:val="00561F25"/>
    <w:rsid w:val="00562242"/>
    <w:rsid w:val="005628EE"/>
    <w:rsid w:val="005652ED"/>
    <w:rsid w:val="005662E1"/>
    <w:rsid w:val="00567628"/>
    <w:rsid w:val="00567D8E"/>
    <w:rsid w:val="00571EEB"/>
    <w:rsid w:val="00572B1A"/>
    <w:rsid w:val="005757BE"/>
    <w:rsid w:val="00575C9A"/>
    <w:rsid w:val="00577D39"/>
    <w:rsid w:val="00577DF9"/>
    <w:rsid w:val="00580CE6"/>
    <w:rsid w:val="005826CE"/>
    <w:rsid w:val="0058331B"/>
    <w:rsid w:val="00583C08"/>
    <w:rsid w:val="00585841"/>
    <w:rsid w:val="00586C28"/>
    <w:rsid w:val="00587BE4"/>
    <w:rsid w:val="005909A1"/>
    <w:rsid w:val="0059320E"/>
    <w:rsid w:val="00593FCE"/>
    <w:rsid w:val="00596608"/>
    <w:rsid w:val="005A115E"/>
    <w:rsid w:val="005A2EC9"/>
    <w:rsid w:val="005A2FD1"/>
    <w:rsid w:val="005A3AB9"/>
    <w:rsid w:val="005A3C38"/>
    <w:rsid w:val="005A3C8A"/>
    <w:rsid w:val="005A48B1"/>
    <w:rsid w:val="005A66CD"/>
    <w:rsid w:val="005A6845"/>
    <w:rsid w:val="005A6F13"/>
    <w:rsid w:val="005A7631"/>
    <w:rsid w:val="005A7D70"/>
    <w:rsid w:val="005B18B4"/>
    <w:rsid w:val="005B245C"/>
    <w:rsid w:val="005B54F5"/>
    <w:rsid w:val="005B5DBB"/>
    <w:rsid w:val="005B6859"/>
    <w:rsid w:val="005B6B01"/>
    <w:rsid w:val="005B7580"/>
    <w:rsid w:val="005C051E"/>
    <w:rsid w:val="005C0B55"/>
    <w:rsid w:val="005C0EE2"/>
    <w:rsid w:val="005C1EBD"/>
    <w:rsid w:val="005C24D4"/>
    <w:rsid w:val="005C4EB7"/>
    <w:rsid w:val="005C7406"/>
    <w:rsid w:val="005D1498"/>
    <w:rsid w:val="005D2CA4"/>
    <w:rsid w:val="005D3A6B"/>
    <w:rsid w:val="005D5757"/>
    <w:rsid w:val="005D5C4B"/>
    <w:rsid w:val="005D653D"/>
    <w:rsid w:val="005D6A69"/>
    <w:rsid w:val="005E032E"/>
    <w:rsid w:val="005E0967"/>
    <w:rsid w:val="005E0E10"/>
    <w:rsid w:val="005E3D71"/>
    <w:rsid w:val="005E4867"/>
    <w:rsid w:val="005E50B2"/>
    <w:rsid w:val="005E58FF"/>
    <w:rsid w:val="005E6F4C"/>
    <w:rsid w:val="005F010E"/>
    <w:rsid w:val="005F0CD4"/>
    <w:rsid w:val="005F1830"/>
    <w:rsid w:val="005F1F9F"/>
    <w:rsid w:val="005F28FA"/>
    <w:rsid w:val="005F42FE"/>
    <w:rsid w:val="005F71F4"/>
    <w:rsid w:val="005F73D6"/>
    <w:rsid w:val="005F7680"/>
    <w:rsid w:val="0060031C"/>
    <w:rsid w:val="00602634"/>
    <w:rsid w:val="006038FB"/>
    <w:rsid w:val="00606E88"/>
    <w:rsid w:val="00610C51"/>
    <w:rsid w:val="00611727"/>
    <w:rsid w:val="00611BE9"/>
    <w:rsid w:val="00614449"/>
    <w:rsid w:val="006149D6"/>
    <w:rsid w:val="006208C2"/>
    <w:rsid w:val="00620C26"/>
    <w:rsid w:val="00621CF2"/>
    <w:rsid w:val="006226EA"/>
    <w:rsid w:val="00622A7F"/>
    <w:rsid w:val="0062404A"/>
    <w:rsid w:val="00631074"/>
    <w:rsid w:val="00631E07"/>
    <w:rsid w:val="00631E30"/>
    <w:rsid w:val="00632B43"/>
    <w:rsid w:val="00632BA8"/>
    <w:rsid w:val="00632E26"/>
    <w:rsid w:val="0063397D"/>
    <w:rsid w:val="00634B1C"/>
    <w:rsid w:val="00640A62"/>
    <w:rsid w:val="00640DC1"/>
    <w:rsid w:val="00641BB5"/>
    <w:rsid w:val="00642DF7"/>
    <w:rsid w:val="00643902"/>
    <w:rsid w:val="00643E4D"/>
    <w:rsid w:val="00643F58"/>
    <w:rsid w:val="00645D60"/>
    <w:rsid w:val="00651131"/>
    <w:rsid w:val="00651C97"/>
    <w:rsid w:val="00653C7E"/>
    <w:rsid w:val="00654FBF"/>
    <w:rsid w:val="006553D4"/>
    <w:rsid w:val="00655A75"/>
    <w:rsid w:val="00656014"/>
    <w:rsid w:val="006568CE"/>
    <w:rsid w:val="00660AC8"/>
    <w:rsid w:val="00660ACB"/>
    <w:rsid w:val="00660B70"/>
    <w:rsid w:val="0066103A"/>
    <w:rsid w:val="00661B98"/>
    <w:rsid w:val="00663CB9"/>
    <w:rsid w:val="00664041"/>
    <w:rsid w:val="00665D4C"/>
    <w:rsid w:val="00665E84"/>
    <w:rsid w:val="0066656A"/>
    <w:rsid w:val="00666C6D"/>
    <w:rsid w:val="006703EA"/>
    <w:rsid w:val="00673580"/>
    <w:rsid w:val="00673CA5"/>
    <w:rsid w:val="00680A2A"/>
    <w:rsid w:val="0068245D"/>
    <w:rsid w:val="006850EF"/>
    <w:rsid w:val="006853C8"/>
    <w:rsid w:val="006857F3"/>
    <w:rsid w:val="00686654"/>
    <w:rsid w:val="006916E6"/>
    <w:rsid w:val="006926A2"/>
    <w:rsid w:val="006946B7"/>
    <w:rsid w:val="00695938"/>
    <w:rsid w:val="00696D2D"/>
    <w:rsid w:val="00696DEE"/>
    <w:rsid w:val="00697B29"/>
    <w:rsid w:val="00697DF9"/>
    <w:rsid w:val="006A2D1D"/>
    <w:rsid w:val="006A4D0B"/>
    <w:rsid w:val="006A52CC"/>
    <w:rsid w:val="006A6494"/>
    <w:rsid w:val="006B0151"/>
    <w:rsid w:val="006B0CC3"/>
    <w:rsid w:val="006B2595"/>
    <w:rsid w:val="006B7C07"/>
    <w:rsid w:val="006B7D4F"/>
    <w:rsid w:val="006B7EA5"/>
    <w:rsid w:val="006C0196"/>
    <w:rsid w:val="006C141F"/>
    <w:rsid w:val="006C579B"/>
    <w:rsid w:val="006C6041"/>
    <w:rsid w:val="006C6911"/>
    <w:rsid w:val="006C6F57"/>
    <w:rsid w:val="006C79C1"/>
    <w:rsid w:val="006D2AAD"/>
    <w:rsid w:val="006D3D38"/>
    <w:rsid w:val="006D59F2"/>
    <w:rsid w:val="006E09D1"/>
    <w:rsid w:val="006E1491"/>
    <w:rsid w:val="006E1520"/>
    <w:rsid w:val="006E3357"/>
    <w:rsid w:val="006E3CFA"/>
    <w:rsid w:val="006E69A3"/>
    <w:rsid w:val="006E7768"/>
    <w:rsid w:val="006F0D61"/>
    <w:rsid w:val="006F14BD"/>
    <w:rsid w:val="006F5060"/>
    <w:rsid w:val="006F6729"/>
    <w:rsid w:val="006F79A9"/>
    <w:rsid w:val="006F7C55"/>
    <w:rsid w:val="00700B2F"/>
    <w:rsid w:val="00701FF1"/>
    <w:rsid w:val="007028AB"/>
    <w:rsid w:val="00703B2F"/>
    <w:rsid w:val="007042C4"/>
    <w:rsid w:val="0070480E"/>
    <w:rsid w:val="00704972"/>
    <w:rsid w:val="00705FDA"/>
    <w:rsid w:val="007072C5"/>
    <w:rsid w:val="0071198E"/>
    <w:rsid w:val="00711C6F"/>
    <w:rsid w:val="007124C8"/>
    <w:rsid w:val="0071397D"/>
    <w:rsid w:val="00714902"/>
    <w:rsid w:val="00716A20"/>
    <w:rsid w:val="00716FB5"/>
    <w:rsid w:val="00717B06"/>
    <w:rsid w:val="00723444"/>
    <w:rsid w:val="00723477"/>
    <w:rsid w:val="00723C5B"/>
    <w:rsid w:val="00723DC3"/>
    <w:rsid w:val="00725654"/>
    <w:rsid w:val="0072691B"/>
    <w:rsid w:val="00730A45"/>
    <w:rsid w:val="00732DF3"/>
    <w:rsid w:val="00734EB6"/>
    <w:rsid w:val="007371A4"/>
    <w:rsid w:val="00741159"/>
    <w:rsid w:val="00741C16"/>
    <w:rsid w:val="007428E4"/>
    <w:rsid w:val="00742E45"/>
    <w:rsid w:val="00744A16"/>
    <w:rsid w:val="007455FA"/>
    <w:rsid w:val="0074568A"/>
    <w:rsid w:val="00750378"/>
    <w:rsid w:val="007507D7"/>
    <w:rsid w:val="00750D0E"/>
    <w:rsid w:val="00752A6F"/>
    <w:rsid w:val="00753481"/>
    <w:rsid w:val="007540E8"/>
    <w:rsid w:val="00755EAE"/>
    <w:rsid w:val="007563C9"/>
    <w:rsid w:val="007565E5"/>
    <w:rsid w:val="0075691E"/>
    <w:rsid w:val="007578E3"/>
    <w:rsid w:val="007617B7"/>
    <w:rsid w:val="00761A2B"/>
    <w:rsid w:val="00763A87"/>
    <w:rsid w:val="00765904"/>
    <w:rsid w:val="00765DA3"/>
    <w:rsid w:val="00766523"/>
    <w:rsid w:val="0077051E"/>
    <w:rsid w:val="0077214C"/>
    <w:rsid w:val="00775231"/>
    <w:rsid w:val="00780380"/>
    <w:rsid w:val="0078093A"/>
    <w:rsid w:val="00780DBB"/>
    <w:rsid w:val="00781111"/>
    <w:rsid w:val="007825D0"/>
    <w:rsid w:val="00782963"/>
    <w:rsid w:val="007849FD"/>
    <w:rsid w:val="007861FB"/>
    <w:rsid w:val="0078639D"/>
    <w:rsid w:val="00787CE9"/>
    <w:rsid w:val="00790525"/>
    <w:rsid w:val="0079181B"/>
    <w:rsid w:val="00792DD0"/>
    <w:rsid w:val="00793870"/>
    <w:rsid w:val="00793EC0"/>
    <w:rsid w:val="00794D02"/>
    <w:rsid w:val="00794F8C"/>
    <w:rsid w:val="00796CEF"/>
    <w:rsid w:val="007979E0"/>
    <w:rsid w:val="007A2249"/>
    <w:rsid w:val="007A272B"/>
    <w:rsid w:val="007A6E6B"/>
    <w:rsid w:val="007A7E2A"/>
    <w:rsid w:val="007B0515"/>
    <w:rsid w:val="007B220C"/>
    <w:rsid w:val="007B3B1F"/>
    <w:rsid w:val="007B3C80"/>
    <w:rsid w:val="007B78D6"/>
    <w:rsid w:val="007C286A"/>
    <w:rsid w:val="007C5ADE"/>
    <w:rsid w:val="007C6532"/>
    <w:rsid w:val="007D09DA"/>
    <w:rsid w:val="007D0D30"/>
    <w:rsid w:val="007D25E7"/>
    <w:rsid w:val="007D30D3"/>
    <w:rsid w:val="007D473E"/>
    <w:rsid w:val="007E0167"/>
    <w:rsid w:val="007E03BE"/>
    <w:rsid w:val="007E0C4D"/>
    <w:rsid w:val="007E1187"/>
    <w:rsid w:val="007E29F7"/>
    <w:rsid w:val="007E2F69"/>
    <w:rsid w:val="007E4088"/>
    <w:rsid w:val="007E4CD8"/>
    <w:rsid w:val="007E5212"/>
    <w:rsid w:val="007E7232"/>
    <w:rsid w:val="007E7460"/>
    <w:rsid w:val="007F187B"/>
    <w:rsid w:val="007F2B76"/>
    <w:rsid w:val="007F570A"/>
    <w:rsid w:val="007F66D5"/>
    <w:rsid w:val="007F70AD"/>
    <w:rsid w:val="00800809"/>
    <w:rsid w:val="0080147C"/>
    <w:rsid w:val="00802886"/>
    <w:rsid w:val="0080320D"/>
    <w:rsid w:val="00806289"/>
    <w:rsid w:val="00807121"/>
    <w:rsid w:val="0081246C"/>
    <w:rsid w:val="0081294A"/>
    <w:rsid w:val="00812D34"/>
    <w:rsid w:val="00813CD4"/>
    <w:rsid w:val="00815804"/>
    <w:rsid w:val="00816A49"/>
    <w:rsid w:val="0081706B"/>
    <w:rsid w:val="0081791D"/>
    <w:rsid w:val="008179F9"/>
    <w:rsid w:val="0082210C"/>
    <w:rsid w:val="00822F3E"/>
    <w:rsid w:val="0082619C"/>
    <w:rsid w:val="00826ECD"/>
    <w:rsid w:val="008270BF"/>
    <w:rsid w:val="0082741F"/>
    <w:rsid w:val="00830A60"/>
    <w:rsid w:val="0083225E"/>
    <w:rsid w:val="00833844"/>
    <w:rsid w:val="00835CAD"/>
    <w:rsid w:val="0083783C"/>
    <w:rsid w:val="008420A0"/>
    <w:rsid w:val="00842BE5"/>
    <w:rsid w:val="00843667"/>
    <w:rsid w:val="008440B4"/>
    <w:rsid w:val="00850829"/>
    <w:rsid w:val="00850A4B"/>
    <w:rsid w:val="00853D81"/>
    <w:rsid w:val="00855B74"/>
    <w:rsid w:val="00857692"/>
    <w:rsid w:val="00857E38"/>
    <w:rsid w:val="008626BB"/>
    <w:rsid w:val="00864B52"/>
    <w:rsid w:val="008669AB"/>
    <w:rsid w:val="008717B2"/>
    <w:rsid w:val="00873BE3"/>
    <w:rsid w:val="00874DDC"/>
    <w:rsid w:val="00875E11"/>
    <w:rsid w:val="008769B7"/>
    <w:rsid w:val="00876BD8"/>
    <w:rsid w:val="0087785D"/>
    <w:rsid w:val="0087796F"/>
    <w:rsid w:val="00877DE2"/>
    <w:rsid w:val="00880368"/>
    <w:rsid w:val="00881977"/>
    <w:rsid w:val="0088517F"/>
    <w:rsid w:val="00885ACF"/>
    <w:rsid w:val="00887570"/>
    <w:rsid w:val="00890DD8"/>
    <w:rsid w:val="008959F7"/>
    <w:rsid w:val="00895A7B"/>
    <w:rsid w:val="00896055"/>
    <w:rsid w:val="008A0923"/>
    <w:rsid w:val="008A24ED"/>
    <w:rsid w:val="008A2841"/>
    <w:rsid w:val="008A29D6"/>
    <w:rsid w:val="008A3020"/>
    <w:rsid w:val="008A386B"/>
    <w:rsid w:val="008A42C6"/>
    <w:rsid w:val="008A6F77"/>
    <w:rsid w:val="008A78F1"/>
    <w:rsid w:val="008B03EB"/>
    <w:rsid w:val="008B0CE8"/>
    <w:rsid w:val="008B0F06"/>
    <w:rsid w:val="008B342E"/>
    <w:rsid w:val="008B394B"/>
    <w:rsid w:val="008B48B8"/>
    <w:rsid w:val="008B4EE2"/>
    <w:rsid w:val="008B5AEE"/>
    <w:rsid w:val="008B62A2"/>
    <w:rsid w:val="008B6F2F"/>
    <w:rsid w:val="008B773D"/>
    <w:rsid w:val="008B7EAD"/>
    <w:rsid w:val="008C2565"/>
    <w:rsid w:val="008C336B"/>
    <w:rsid w:val="008C59D7"/>
    <w:rsid w:val="008C5A9F"/>
    <w:rsid w:val="008C76E8"/>
    <w:rsid w:val="008D00F1"/>
    <w:rsid w:val="008D069C"/>
    <w:rsid w:val="008D3800"/>
    <w:rsid w:val="008D4033"/>
    <w:rsid w:val="008D55BD"/>
    <w:rsid w:val="008D5C65"/>
    <w:rsid w:val="008D7409"/>
    <w:rsid w:val="008D7CA1"/>
    <w:rsid w:val="008D7F4B"/>
    <w:rsid w:val="008E0AE4"/>
    <w:rsid w:val="008E3B8D"/>
    <w:rsid w:val="008E47DB"/>
    <w:rsid w:val="008E6F89"/>
    <w:rsid w:val="008E7C9C"/>
    <w:rsid w:val="008E7EE9"/>
    <w:rsid w:val="008F06A6"/>
    <w:rsid w:val="008F3924"/>
    <w:rsid w:val="008F3D2D"/>
    <w:rsid w:val="00900A97"/>
    <w:rsid w:val="00902635"/>
    <w:rsid w:val="00902A36"/>
    <w:rsid w:val="00902CC0"/>
    <w:rsid w:val="009046AB"/>
    <w:rsid w:val="00905D9A"/>
    <w:rsid w:val="00906D47"/>
    <w:rsid w:val="0091190C"/>
    <w:rsid w:val="009138E0"/>
    <w:rsid w:val="00913C7F"/>
    <w:rsid w:val="0091593D"/>
    <w:rsid w:val="009178C1"/>
    <w:rsid w:val="00920697"/>
    <w:rsid w:val="0092354A"/>
    <w:rsid w:val="00924075"/>
    <w:rsid w:val="00924DC5"/>
    <w:rsid w:val="00925331"/>
    <w:rsid w:val="00925357"/>
    <w:rsid w:val="00926CA0"/>
    <w:rsid w:val="00930C06"/>
    <w:rsid w:val="0093135E"/>
    <w:rsid w:val="00932A70"/>
    <w:rsid w:val="00933E35"/>
    <w:rsid w:val="00934A6E"/>
    <w:rsid w:val="009360AA"/>
    <w:rsid w:val="009361DA"/>
    <w:rsid w:val="00936B64"/>
    <w:rsid w:val="00937F15"/>
    <w:rsid w:val="009415A3"/>
    <w:rsid w:val="0094332D"/>
    <w:rsid w:val="00943767"/>
    <w:rsid w:val="00944F16"/>
    <w:rsid w:val="0094684E"/>
    <w:rsid w:val="009478A4"/>
    <w:rsid w:val="00950831"/>
    <w:rsid w:val="0095505B"/>
    <w:rsid w:val="009551F8"/>
    <w:rsid w:val="00956FA6"/>
    <w:rsid w:val="0095770C"/>
    <w:rsid w:val="00960A9E"/>
    <w:rsid w:val="00963E06"/>
    <w:rsid w:val="00963F44"/>
    <w:rsid w:val="00964AE9"/>
    <w:rsid w:val="00964FD6"/>
    <w:rsid w:val="00965010"/>
    <w:rsid w:val="0097158D"/>
    <w:rsid w:val="00972048"/>
    <w:rsid w:val="0097230D"/>
    <w:rsid w:val="0097265D"/>
    <w:rsid w:val="00973696"/>
    <w:rsid w:val="00973AA6"/>
    <w:rsid w:val="00976339"/>
    <w:rsid w:val="00980C3B"/>
    <w:rsid w:val="00982F2D"/>
    <w:rsid w:val="0098360D"/>
    <w:rsid w:val="00983621"/>
    <w:rsid w:val="00983F17"/>
    <w:rsid w:val="0098637D"/>
    <w:rsid w:val="00986776"/>
    <w:rsid w:val="0098772D"/>
    <w:rsid w:val="0098796A"/>
    <w:rsid w:val="00992949"/>
    <w:rsid w:val="00993B8D"/>
    <w:rsid w:val="009941FE"/>
    <w:rsid w:val="00994A8F"/>
    <w:rsid w:val="00997000"/>
    <w:rsid w:val="00997C56"/>
    <w:rsid w:val="009A11CD"/>
    <w:rsid w:val="009A27BD"/>
    <w:rsid w:val="009A30AA"/>
    <w:rsid w:val="009A4F65"/>
    <w:rsid w:val="009A5DD0"/>
    <w:rsid w:val="009A6EDD"/>
    <w:rsid w:val="009B028D"/>
    <w:rsid w:val="009B0E47"/>
    <w:rsid w:val="009B0E51"/>
    <w:rsid w:val="009B0ED1"/>
    <w:rsid w:val="009B1337"/>
    <w:rsid w:val="009B284C"/>
    <w:rsid w:val="009B2BA9"/>
    <w:rsid w:val="009B715D"/>
    <w:rsid w:val="009C015B"/>
    <w:rsid w:val="009C1553"/>
    <w:rsid w:val="009C2110"/>
    <w:rsid w:val="009C251A"/>
    <w:rsid w:val="009C2DFF"/>
    <w:rsid w:val="009C3095"/>
    <w:rsid w:val="009C42D9"/>
    <w:rsid w:val="009C50A4"/>
    <w:rsid w:val="009C62D7"/>
    <w:rsid w:val="009C7CAF"/>
    <w:rsid w:val="009D0AE5"/>
    <w:rsid w:val="009D119E"/>
    <w:rsid w:val="009D2752"/>
    <w:rsid w:val="009D3107"/>
    <w:rsid w:val="009D3EA9"/>
    <w:rsid w:val="009D54A8"/>
    <w:rsid w:val="009D6490"/>
    <w:rsid w:val="009D6B08"/>
    <w:rsid w:val="009D7006"/>
    <w:rsid w:val="009D735C"/>
    <w:rsid w:val="009E1D00"/>
    <w:rsid w:val="009E1D44"/>
    <w:rsid w:val="009E2D8E"/>
    <w:rsid w:val="009E2EA6"/>
    <w:rsid w:val="009E78EA"/>
    <w:rsid w:val="009E7AA3"/>
    <w:rsid w:val="009F0718"/>
    <w:rsid w:val="009F2E2C"/>
    <w:rsid w:val="009F3E05"/>
    <w:rsid w:val="009F7C7B"/>
    <w:rsid w:val="00A004FD"/>
    <w:rsid w:val="00A01D49"/>
    <w:rsid w:val="00A01FE6"/>
    <w:rsid w:val="00A03CB8"/>
    <w:rsid w:val="00A05B50"/>
    <w:rsid w:val="00A05F61"/>
    <w:rsid w:val="00A10088"/>
    <w:rsid w:val="00A12448"/>
    <w:rsid w:val="00A12DCF"/>
    <w:rsid w:val="00A13418"/>
    <w:rsid w:val="00A14C78"/>
    <w:rsid w:val="00A15E75"/>
    <w:rsid w:val="00A17041"/>
    <w:rsid w:val="00A200CF"/>
    <w:rsid w:val="00A21C2E"/>
    <w:rsid w:val="00A23456"/>
    <w:rsid w:val="00A23BEE"/>
    <w:rsid w:val="00A243AE"/>
    <w:rsid w:val="00A24FFE"/>
    <w:rsid w:val="00A25AA3"/>
    <w:rsid w:val="00A25FB7"/>
    <w:rsid w:val="00A2646C"/>
    <w:rsid w:val="00A27414"/>
    <w:rsid w:val="00A27D17"/>
    <w:rsid w:val="00A30180"/>
    <w:rsid w:val="00A30DB8"/>
    <w:rsid w:val="00A31451"/>
    <w:rsid w:val="00A32A21"/>
    <w:rsid w:val="00A339D6"/>
    <w:rsid w:val="00A351B2"/>
    <w:rsid w:val="00A360D1"/>
    <w:rsid w:val="00A36342"/>
    <w:rsid w:val="00A37280"/>
    <w:rsid w:val="00A37F67"/>
    <w:rsid w:val="00A4022A"/>
    <w:rsid w:val="00A40667"/>
    <w:rsid w:val="00A40EA1"/>
    <w:rsid w:val="00A43411"/>
    <w:rsid w:val="00A4400A"/>
    <w:rsid w:val="00A446DF"/>
    <w:rsid w:val="00A44777"/>
    <w:rsid w:val="00A46579"/>
    <w:rsid w:val="00A47557"/>
    <w:rsid w:val="00A476FB"/>
    <w:rsid w:val="00A47C01"/>
    <w:rsid w:val="00A528E6"/>
    <w:rsid w:val="00A5308D"/>
    <w:rsid w:val="00A530E9"/>
    <w:rsid w:val="00A54BC6"/>
    <w:rsid w:val="00A57217"/>
    <w:rsid w:val="00A57FE9"/>
    <w:rsid w:val="00A611DD"/>
    <w:rsid w:val="00A61E5A"/>
    <w:rsid w:val="00A621F6"/>
    <w:rsid w:val="00A63350"/>
    <w:rsid w:val="00A64479"/>
    <w:rsid w:val="00A645EE"/>
    <w:rsid w:val="00A66720"/>
    <w:rsid w:val="00A672C0"/>
    <w:rsid w:val="00A70C87"/>
    <w:rsid w:val="00A71665"/>
    <w:rsid w:val="00A7645D"/>
    <w:rsid w:val="00A774D4"/>
    <w:rsid w:val="00A778B5"/>
    <w:rsid w:val="00A801E8"/>
    <w:rsid w:val="00A806F0"/>
    <w:rsid w:val="00A80E9B"/>
    <w:rsid w:val="00A832C0"/>
    <w:rsid w:val="00A83C4C"/>
    <w:rsid w:val="00A8410C"/>
    <w:rsid w:val="00A842A1"/>
    <w:rsid w:val="00A870AB"/>
    <w:rsid w:val="00A90733"/>
    <w:rsid w:val="00A920CE"/>
    <w:rsid w:val="00A939D9"/>
    <w:rsid w:val="00A94723"/>
    <w:rsid w:val="00A94FE0"/>
    <w:rsid w:val="00A95BE7"/>
    <w:rsid w:val="00A95CA4"/>
    <w:rsid w:val="00A9618F"/>
    <w:rsid w:val="00A97A76"/>
    <w:rsid w:val="00A97FDF"/>
    <w:rsid w:val="00AA0775"/>
    <w:rsid w:val="00AA1719"/>
    <w:rsid w:val="00AA5BB0"/>
    <w:rsid w:val="00AA6F3E"/>
    <w:rsid w:val="00AB09C5"/>
    <w:rsid w:val="00AB333E"/>
    <w:rsid w:val="00AB42E4"/>
    <w:rsid w:val="00AB4E5E"/>
    <w:rsid w:val="00AB5668"/>
    <w:rsid w:val="00AB78B8"/>
    <w:rsid w:val="00AC1832"/>
    <w:rsid w:val="00AC2C13"/>
    <w:rsid w:val="00AC2C9E"/>
    <w:rsid w:val="00AC5BD7"/>
    <w:rsid w:val="00AC6430"/>
    <w:rsid w:val="00AC6A4D"/>
    <w:rsid w:val="00AC7D17"/>
    <w:rsid w:val="00AD0931"/>
    <w:rsid w:val="00AD58AB"/>
    <w:rsid w:val="00AD5B34"/>
    <w:rsid w:val="00AD5FFD"/>
    <w:rsid w:val="00AD6F07"/>
    <w:rsid w:val="00AE068E"/>
    <w:rsid w:val="00AE08FA"/>
    <w:rsid w:val="00AE204E"/>
    <w:rsid w:val="00AE2421"/>
    <w:rsid w:val="00AE52CD"/>
    <w:rsid w:val="00AE69F9"/>
    <w:rsid w:val="00AF035C"/>
    <w:rsid w:val="00AF2EEF"/>
    <w:rsid w:val="00AF327E"/>
    <w:rsid w:val="00AF3664"/>
    <w:rsid w:val="00AF6183"/>
    <w:rsid w:val="00AF7090"/>
    <w:rsid w:val="00B00EEC"/>
    <w:rsid w:val="00B0414D"/>
    <w:rsid w:val="00B05A67"/>
    <w:rsid w:val="00B104EA"/>
    <w:rsid w:val="00B1098B"/>
    <w:rsid w:val="00B112A5"/>
    <w:rsid w:val="00B115EE"/>
    <w:rsid w:val="00B116BA"/>
    <w:rsid w:val="00B120B6"/>
    <w:rsid w:val="00B12F08"/>
    <w:rsid w:val="00B12F2D"/>
    <w:rsid w:val="00B13B4E"/>
    <w:rsid w:val="00B13BC5"/>
    <w:rsid w:val="00B146EB"/>
    <w:rsid w:val="00B16215"/>
    <w:rsid w:val="00B16632"/>
    <w:rsid w:val="00B17BCF"/>
    <w:rsid w:val="00B2017A"/>
    <w:rsid w:val="00B2110D"/>
    <w:rsid w:val="00B22270"/>
    <w:rsid w:val="00B22CDD"/>
    <w:rsid w:val="00B24194"/>
    <w:rsid w:val="00B2576C"/>
    <w:rsid w:val="00B300B2"/>
    <w:rsid w:val="00B309DF"/>
    <w:rsid w:val="00B31B5F"/>
    <w:rsid w:val="00B34F74"/>
    <w:rsid w:val="00B357B1"/>
    <w:rsid w:val="00B363E0"/>
    <w:rsid w:val="00B42C28"/>
    <w:rsid w:val="00B444F7"/>
    <w:rsid w:val="00B45CB5"/>
    <w:rsid w:val="00B45EDC"/>
    <w:rsid w:val="00B46916"/>
    <w:rsid w:val="00B50035"/>
    <w:rsid w:val="00B523AD"/>
    <w:rsid w:val="00B52642"/>
    <w:rsid w:val="00B526DF"/>
    <w:rsid w:val="00B554D1"/>
    <w:rsid w:val="00B56801"/>
    <w:rsid w:val="00B570E8"/>
    <w:rsid w:val="00B57186"/>
    <w:rsid w:val="00B5745F"/>
    <w:rsid w:val="00B57F94"/>
    <w:rsid w:val="00B6033F"/>
    <w:rsid w:val="00B6086A"/>
    <w:rsid w:val="00B60AF1"/>
    <w:rsid w:val="00B60B72"/>
    <w:rsid w:val="00B60CA0"/>
    <w:rsid w:val="00B6188E"/>
    <w:rsid w:val="00B61C15"/>
    <w:rsid w:val="00B61D14"/>
    <w:rsid w:val="00B64A6B"/>
    <w:rsid w:val="00B64B40"/>
    <w:rsid w:val="00B65786"/>
    <w:rsid w:val="00B719CC"/>
    <w:rsid w:val="00B72030"/>
    <w:rsid w:val="00B721CC"/>
    <w:rsid w:val="00B72BB5"/>
    <w:rsid w:val="00B72CE1"/>
    <w:rsid w:val="00B73C72"/>
    <w:rsid w:val="00B75296"/>
    <w:rsid w:val="00B759C1"/>
    <w:rsid w:val="00B80011"/>
    <w:rsid w:val="00B80578"/>
    <w:rsid w:val="00B82063"/>
    <w:rsid w:val="00B82690"/>
    <w:rsid w:val="00B845FF"/>
    <w:rsid w:val="00B849EC"/>
    <w:rsid w:val="00B862A8"/>
    <w:rsid w:val="00B8685C"/>
    <w:rsid w:val="00B8775F"/>
    <w:rsid w:val="00B90B39"/>
    <w:rsid w:val="00B92052"/>
    <w:rsid w:val="00B92A05"/>
    <w:rsid w:val="00B9368F"/>
    <w:rsid w:val="00B94622"/>
    <w:rsid w:val="00B94DA7"/>
    <w:rsid w:val="00B964A4"/>
    <w:rsid w:val="00B96785"/>
    <w:rsid w:val="00BA0336"/>
    <w:rsid w:val="00BA135D"/>
    <w:rsid w:val="00BA2374"/>
    <w:rsid w:val="00BA2E80"/>
    <w:rsid w:val="00BA3920"/>
    <w:rsid w:val="00BA4A35"/>
    <w:rsid w:val="00BA5A16"/>
    <w:rsid w:val="00BA658F"/>
    <w:rsid w:val="00BB0210"/>
    <w:rsid w:val="00BB4BA7"/>
    <w:rsid w:val="00BC014B"/>
    <w:rsid w:val="00BC09FC"/>
    <w:rsid w:val="00BC1089"/>
    <w:rsid w:val="00BC1B71"/>
    <w:rsid w:val="00BC25FE"/>
    <w:rsid w:val="00BC294E"/>
    <w:rsid w:val="00BC296A"/>
    <w:rsid w:val="00BC3F98"/>
    <w:rsid w:val="00BC595A"/>
    <w:rsid w:val="00BC5CE8"/>
    <w:rsid w:val="00BC68EC"/>
    <w:rsid w:val="00BD06CB"/>
    <w:rsid w:val="00BD1880"/>
    <w:rsid w:val="00BD312B"/>
    <w:rsid w:val="00BD5D87"/>
    <w:rsid w:val="00BE2028"/>
    <w:rsid w:val="00BE3234"/>
    <w:rsid w:val="00BE57D3"/>
    <w:rsid w:val="00BE598A"/>
    <w:rsid w:val="00BE67EF"/>
    <w:rsid w:val="00BE6DC1"/>
    <w:rsid w:val="00BF0A95"/>
    <w:rsid w:val="00BF2B6C"/>
    <w:rsid w:val="00BF3344"/>
    <w:rsid w:val="00BF6CE4"/>
    <w:rsid w:val="00BF6EE4"/>
    <w:rsid w:val="00C01C76"/>
    <w:rsid w:val="00C024A6"/>
    <w:rsid w:val="00C02A3F"/>
    <w:rsid w:val="00C02EFF"/>
    <w:rsid w:val="00C03653"/>
    <w:rsid w:val="00C037A2"/>
    <w:rsid w:val="00C05830"/>
    <w:rsid w:val="00C06018"/>
    <w:rsid w:val="00C0602F"/>
    <w:rsid w:val="00C10BB0"/>
    <w:rsid w:val="00C10FE5"/>
    <w:rsid w:val="00C116FD"/>
    <w:rsid w:val="00C14F4A"/>
    <w:rsid w:val="00C1527C"/>
    <w:rsid w:val="00C152D9"/>
    <w:rsid w:val="00C17965"/>
    <w:rsid w:val="00C17A8D"/>
    <w:rsid w:val="00C235F6"/>
    <w:rsid w:val="00C24652"/>
    <w:rsid w:val="00C26562"/>
    <w:rsid w:val="00C3182F"/>
    <w:rsid w:val="00C3204D"/>
    <w:rsid w:val="00C33455"/>
    <w:rsid w:val="00C3555A"/>
    <w:rsid w:val="00C37850"/>
    <w:rsid w:val="00C41FFF"/>
    <w:rsid w:val="00C44871"/>
    <w:rsid w:val="00C45D29"/>
    <w:rsid w:val="00C46260"/>
    <w:rsid w:val="00C46EC7"/>
    <w:rsid w:val="00C50DA6"/>
    <w:rsid w:val="00C51E61"/>
    <w:rsid w:val="00C52AEB"/>
    <w:rsid w:val="00C52FC6"/>
    <w:rsid w:val="00C5311D"/>
    <w:rsid w:val="00C5517D"/>
    <w:rsid w:val="00C55911"/>
    <w:rsid w:val="00C5653C"/>
    <w:rsid w:val="00C6085B"/>
    <w:rsid w:val="00C616A9"/>
    <w:rsid w:val="00C61A1B"/>
    <w:rsid w:val="00C61BA5"/>
    <w:rsid w:val="00C61BCB"/>
    <w:rsid w:val="00C63664"/>
    <w:rsid w:val="00C63C5A"/>
    <w:rsid w:val="00C64143"/>
    <w:rsid w:val="00C6506F"/>
    <w:rsid w:val="00C66ED1"/>
    <w:rsid w:val="00C70916"/>
    <w:rsid w:val="00C711C0"/>
    <w:rsid w:val="00C835CD"/>
    <w:rsid w:val="00C84FE6"/>
    <w:rsid w:val="00C85645"/>
    <w:rsid w:val="00C85BCC"/>
    <w:rsid w:val="00C87088"/>
    <w:rsid w:val="00C8751B"/>
    <w:rsid w:val="00C87C7D"/>
    <w:rsid w:val="00C90DF4"/>
    <w:rsid w:val="00C9203B"/>
    <w:rsid w:val="00C9605C"/>
    <w:rsid w:val="00C9632B"/>
    <w:rsid w:val="00C979FD"/>
    <w:rsid w:val="00CA0631"/>
    <w:rsid w:val="00CA083D"/>
    <w:rsid w:val="00CA3AC4"/>
    <w:rsid w:val="00CA4985"/>
    <w:rsid w:val="00CA5982"/>
    <w:rsid w:val="00CA5DD5"/>
    <w:rsid w:val="00CA6AB9"/>
    <w:rsid w:val="00CA6D23"/>
    <w:rsid w:val="00CB02B0"/>
    <w:rsid w:val="00CB0CF1"/>
    <w:rsid w:val="00CB1C88"/>
    <w:rsid w:val="00CB2751"/>
    <w:rsid w:val="00CB421F"/>
    <w:rsid w:val="00CB428E"/>
    <w:rsid w:val="00CB74B3"/>
    <w:rsid w:val="00CC0E35"/>
    <w:rsid w:val="00CC1C6E"/>
    <w:rsid w:val="00CC21B1"/>
    <w:rsid w:val="00CC4ED0"/>
    <w:rsid w:val="00CC5036"/>
    <w:rsid w:val="00CD0F6E"/>
    <w:rsid w:val="00CD101C"/>
    <w:rsid w:val="00CD1B42"/>
    <w:rsid w:val="00CD28FA"/>
    <w:rsid w:val="00CD578A"/>
    <w:rsid w:val="00CD57CA"/>
    <w:rsid w:val="00CD5D88"/>
    <w:rsid w:val="00CE298F"/>
    <w:rsid w:val="00CE2F12"/>
    <w:rsid w:val="00CE56D1"/>
    <w:rsid w:val="00CE5F6F"/>
    <w:rsid w:val="00CE7470"/>
    <w:rsid w:val="00CE758F"/>
    <w:rsid w:val="00CF0898"/>
    <w:rsid w:val="00CF37E0"/>
    <w:rsid w:val="00CF4634"/>
    <w:rsid w:val="00CF5D1E"/>
    <w:rsid w:val="00CF610E"/>
    <w:rsid w:val="00CF637D"/>
    <w:rsid w:val="00CF642E"/>
    <w:rsid w:val="00CF7136"/>
    <w:rsid w:val="00CF76FB"/>
    <w:rsid w:val="00D00DE9"/>
    <w:rsid w:val="00D04667"/>
    <w:rsid w:val="00D04BF9"/>
    <w:rsid w:val="00D06E51"/>
    <w:rsid w:val="00D1170C"/>
    <w:rsid w:val="00D13A9F"/>
    <w:rsid w:val="00D13D4C"/>
    <w:rsid w:val="00D13E96"/>
    <w:rsid w:val="00D14B91"/>
    <w:rsid w:val="00D153E1"/>
    <w:rsid w:val="00D22330"/>
    <w:rsid w:val="00D23A48"/>
    <w:rsid w:val="00D24AC5"/>
    <w:rsid w:val="00D24C63"/>
    <w:rsid w:val="00D2609B"/>
    <w:rsid w:val="00D27315"/>
    <w:rsid w:val="00D27B5A"/>
    <w:rsid w:val="00D3081A"/>
    <w:rsid w:val="00D3154A"/>
    <w:rsid w:val="00D31683"/>
    <w:rsid w:val="00D33390"/>
    <w:rsid w:val="00D33D21"/>
    <w:rsid w:val="00D34042"/>
    <w:rsid w:val="00D36325"/>
    <w:rsid w:val="00D403EA"/>
    <w:rsid w:val="00D40EC2"/>
    <w:rsid w:val="00D42B39"/>
    <w:rsid w:val="00D4306B"/>
    <w:rsid w:val="00D4345E"/>
    <w:rsid w:val="00D43E15"/>
    <w:rsid w:val="00D4424B"/>
    <w:rsid w:val="00D45A99"/>
    <w:rsid w:val="00D5021B"/>
    <w:rsid w:val="00D50D1B"/>
    <w:rsid w:val="00D51086"/>
    <w:rsid w:val="00D51205"/>
    <w:rsid w:val="00D519A2"/>
    <w:rsid w:val="00D525E1"/>
    <w:rsid w:val="00D555D7"/>
    <w:rsid w:val="00D572A3"/>
    <w:rsid w:val="00D57341"/>
    <w:rsid w:val="00D61F1A"/>
    <w:rsid w:val="00D62832"/>
    <w:rsid w:val="00D62F9A"/>
    <w:rsid w:val="00D64802"/>
    <w:rsid w:val="00D650F9"/>
    <w:rsid w:val="00D65174"/>
    <w:rsid w:val="00D669DD"/>
    <w:rsid w:val="00D6790F"/>
    <w:rsid w:val="00D67F65"/>
    <w:rsid w:val="00D73A50"/>
    <w:rsid w:val="00D740B5"/>
    <w:rsid w:val="00D74832"/>
    <w:rsid w:val="00D76FA3"/>
    <w:rsid w:val="00D80AF9"/>
    <w:rsid w:val="00D80FF1"/>
    <w:rsid w:val="00D8143F"/>
    <w:rsid w:val="00D82FF1"/>
    <w:rsid w:val="00D834FB"/>
    <w:rsid w:val="00D840E1"/>
    <w:rsid w:val="00D84C4C"/>
    <w:rsid w:val="00D857C3"/>
    <w:rsid w:val="00D87906"/>
    <w:rsid w:val="00D90970"/>
    <w:rsid w:val="00D909B1"/>
    <w:rsid w:val="00D91748"/>
    <w:rsid w:val="00D91D5A"/>
    <w:rsid w:val="00D92309"/>
    <w:rsid w:val="00D9347E"/>
    <w:rsid w:val="00D94675"/>
    <w:rsid w:val="00D97C55"/>
    <w:rsid w:val="00DA1F22"/>
    <w:rsid w:val="00DA31EC"/>
    <w:rsid w:val="00DA3922"/>
    <w:rsid w:val="00DA57F5"/>
    <w:rsid w:val="00DA740E"/>
    <w:rsid w:val="00DB0E01"/>
    <w:rsid w:val="00DB192E"/>
    <w:rsid w:val="00DB3573"/>
    <w:rsid w:val="00DB5BD0"/>
    <w:rsid w:val="00DB7349"/>
    <w:rsid w:val="00DB7E97"/>
    <w:rsid w:val="00DC0969"/>
    <w:rsid w:val="00DC0B5B"/>
    <w:rsid w:val="00DC22DF"/>
    <w:rsid w:val="00DC58D6"/>
    <w:rsid w:val="00DC6D7D"/>
    <w:rsid w:val="00DC7AD7"/>
    <w:rsid w:val="00DD0F2A"/>
    <w:rsid w:val="00DD3C7E"/>
    <w:rsid w:val="00DD502B"/>
    <w:rsid w:val="00DD5E2F"/>
    <w:rsid w:val="00DD699B"/>
    <w:rsid w:val="00DD7414"/>
    <w:rsid w:val="00DD7667"/>
    <w:rsid w:val="00DD7B7D"/>
    <w:rsid w:val="00DE13ED"/>
    <w:rsid w:val="00DE1DF2"/>
    <w:rsid w:val="00DE31F6"/>
    <w:rsid w:val="00DE4C71"/>
    <w:rsid w:val="00DE4F16"/>
    <w:rsid w:val="00DE6503"/>
    <w:rsid w:val="00DF24F2"/>
    <w:rsid w:val="00DF34F1"/>
    <w:rsid w:val="00DF38BB"/>
    <w:rsid w:val="00DF595E"/>
    <w:rsid w:val="00DF5B7D"/>
    <w:rsid w:val="00DF64F1"/>
    <w:rsid w:val="00DF68A7"/>
    <w:rsid w:val="00DF6979"/>
    <w:rsid w:val="00DF75E0"/>
    <w:rsid w:val="00E0195D"/>
    <w:rsid w:val="00E02351"/>
    <w:rsid w:val="00E03526"/>
    <w:rsid w:val="00E03583"/>
    <w:rsid w:val="00E046C4"/>
    <w:rsid w:val="00E0482D"/>
    <w:rsid w:val="00E0523B"/>
    <w:rsid w:val="00E10488"/>
    <w:rsid w:val="00E10A2D"/>
    <w:rsid w:val="00E14EF9"/>
    <w:rsid w:val="00E16D50"/>
    <w:rsid w:val="00E20603"/>
    <w:rsid w:val="00E20F10"/>
    <w:rsid w:val="00E2100E"/>
    <w:rsid w:val="00E21BE6"/>
    <w:rsid w:val="00E23ECA"/>
    <w:rsid w:val="00E2464D"/>
    <w:rsid w:val="00E24A9D"/>
    <w:rsid w:val="00E266B3"/>
    <w:rsid w:val="00E2786D"/>
    <w:rsid w:val="00E31B18"/>
    <w:rsid w:val="00E339B2"/>
    <w:rsid w:val="00E35356"/>
    <w:rsid w:val="00E355D3"/>
    <w:rsid w:val="00E37515"/>
    <w:rsid w:val="00E406B1"/>
    <w:rsid w:val="00E42B14"/>
    <w:rsid w:val="00E44C6C"/>
    <w:rsid w:val="00E46B7A"/>
    <w:rsid w:val="00E52B82"/>
    <w:rsid w:val="00E54747"/>
    <w:rsid w:val="00E575A5"/>
    <w:rsid w:val="00E6189B"/>
    <w:rsid w:val="00E62D5C"/>
    <w:rsid w:val="00E63CB4"/>
    <w:rsid w:val="00E6531F"/>
    <w:rsid w:val="00E65502"/>
    <w:rsid w:val="00E65829"/>
    <w:rsid w:val="00E701DE"/>
    <w:rsid w:val="00E71F6E"/>
    <w:rsid w:val="00E72BAA"/>
    <w:rsid w:val="00E7343A"/>
    <w:rsid w:val="00E74163"/>
    <w:rsid w:val="00E75590"/>
    <w:rsid w:val="00E75E36"/>
    <w:rsid w:val="00E7687F"/>
    <w:rsid w:val="00E771D7"/>
    <w:rsid w:val="00E7757B"/>
    <w:rsid w:val="00E7786E"/>
    <w:rsid w:val="00E835A1"/>
    <w:rsid w:val="00E841BA"/>
    <w:rsid w:val="00E84E75"/>
    <w:rsid w:val="00E8581F"/>
    <w:rsid w:val="00E90B81"/>
    <w:rsid w:val="00E923BE"/>
    <w:rsid w:val="00E92718"/>
    <w:rsid w:val="00E930DE"/>
    <w:rsid w:val="00E932CD"/>
    <w:rsid w:val="00E9383B"/>
    <w:rsid w:val="00E955E8"/>
    <w:rsid w:val="00E95FD3"/>
    <w:rsid w:val="00E974D4"/>
    <w:rsid w:val="00EA03A3"/>
    <w:rsid w:val="00EA14B1"/>
    <w:rsid w:val="00EA50C5"/>
    <w:rsid w:val="00EA5618"/>
    <w:rsid w:val="00EA5E8D"/>
    <w:rsid w:val="00EA7752"/>
    <w:rsid w:val="00EA7E77"/>
    <w:rsid w:val="00EB06A4"/>
    <w:rsid w:val="00EB0AF8"/>
    <w:rsid w:val="00EB20BB"/>
    <w:rsid w:val="00EB31A7"/>
    <w:rsid w:val="00EB5363"/>
    <w:rsid w:val="00EC2C7F"/>
    <w:rsid w:val="00EC323E"/>
    <w:rsid w:val="00EC5079"/>
    <w:rsid w:val="00EC7588"/>
    <w:rsid w:val="00ED0D87"/>
    <w:rsid w:val="00ED1EC5"/>
    <w:rsid w:val="00ED3885"/>
    <w:rsid w:val="00ED3DA4"/>
    <w:rsid w:val="00ED4D13"/>
    <w:rsid w:val="00ED6960"/>
    <w:rsid w:val="00EE1F7A"/>
    <w:rsid w:val="00EE3691"/>
    <w:rsid w:val="00EE4B7E"/>
    <w:rsid w:val="00EE4BAB"/>
    <w:rsid w:val="00EE4E5B"/>
    <w:rsid w:val="00EE767E"/>
    <w:rsid w:val="00EF0CCC"/>
    <w:rsid w:val="00EF41E1"/>
    <w:rsid w:val="00EF4366"/>
    <w:rsid w:val="00EF4385"/>
    <w:rsid w:val="00EF7506"/>
    <w:rsid w:val="00F0181D"/>
    <w:rsid w:val="00F01A32"/>
    <w:rsid w:val="00F0314F"/>
    <w:rsid w:val="00F042EB"/>
    <w:rsid w:val="00F0450E"/>
    <w:rsid w:val="00F05BD8"/>
    <w:rsid w:val="00F0680D"/>
    <w:rsid w:val="00F07666"/>
    <w:rsid w:val="00F07D11"/>
    <w:rsid w:val="00F123C5"/>
    <w:rsid w:val="00F14172"/>
    <w:rsid w:val="00F145A4"/>
    <w:rsid w:val="00F14912"/>
    <w:rsid w:val="00F17026"/>
    <w:rsid w:val="00F2300C"/>
    <w:rsid w:val="00F24C55"/>
    <w:rsid w:val="00F24DC7"/>
    <w:rsid w:val="00F25F91"/>
    <w:rsid w:val="00F263D8"/>
    <w:rsid w:val="00F26630"/>
    <w:rsid w:val="00F26FAA"/>
    <w:rsid w:val="00F34781"/>
    <w:rsid w:val="00F35160"/>
    <w:rsid w:val="00F3583D"/>
    <w:rsid w:val="00F402FC"/>
    <w:rsid w:val="00F41301"/>
    <w:rsid w:val="00F4196E"/>
    <w:rsid w:val="00F41B02"/>
    <w:rsid w:val="00F42762"/>
    <w:rsid w:val="00F4298A"/>
    <w:rsid w:val="00F43810"/>
    <w:rsid w:val="00F441E3"/>
    <w:rsid w:val="00F44238"/>
    <w:rsid w:val="00F4524F"/>
    <w:rsid w:val="00F45C99"/>
    <w:rsid w:val="00F46C7C"/>
    <w:rsid w:val="00F474AF"/>
    <w:rsid w:val="00F5089D"/>
    <w:rsid w:val="00F5117C"/>
    <w:rsid w:val="00F51E29"/>
    <w:rsid w:val="00F52777"/>
    <w:rsid w:val="00F533BC"/>
    <w:rsid w:val="00F538ED"/>
    <w:rsid w:val="00F56571"/>
    <w:rsid w:val="00F56771"/>
    <w:rsid w:val="00F57165"/>
    <w:rsid w:val="00F6098A"/>
    <w:rsid w:val="00F61F83"/>
    <w:rsid w:val="00F62137"/>
    <w:rsid w:val="00F64311"/>
    <w:rsid w:val="00F64B24"/>
    <w:rsid w:val="00F64EB4"/>
    <w:rsid w:val="00F658A3"/>
    <w:rsid w:val="00F70BDB"/>
    <w:rsid w:val="00F7259A"/>
    <w:rsid w:val="00F72624"/>
    <w:rsid w:val="00F74EE3"/>
    <w:rsid w:val="00F74F66"/>
    <w:rsid w:val="00F75B03"/>
    <w:rsid w:val="00F805B2"/>
    <w:rsid w:val="00F805D9"/>
    <w:rsid w:val="00F8268C"/>
    <w:rsid w:val="00F82C83"/>
    <w:rsid w:val="00F85079"/>
    <w:rsid w:val="00F8547C"/>
    <w:rsid w:val="00F85559"/>
    <w:rsid w:val="00F85AFC"/>
    <w:rsid w:val="00F86020"/>
    <w:rsid w:val="00F870A9"/>
    <w:rsid w:val="00F90DA8"/>
    <w:rsid w:val="00F9202D"/>
    <w:rsid w:val="00F9249C"/>
    <w:rsid w:val="00F92BF7"/>
    <w:rsid w:val="00F92FF6"/>
    <w:rsid w:val="00F93105"/>
    <w:rsid w:val="00F940C3"/>
    <w:rsid w:val="00F942BF"/>
    <w:rsid w:val="00F94E35"/>
    <w:rsid w:val="00F95004"/>
    <w:rsid w:val="00F95C3F"/>
    <w:rsid w:val="00FA050B"/>
    <w:rsid w:val="00FA1098"/>
    <w:rsid w:val="00FA2403"/>
    <w:rsid w:val="00FA2BA7"/>
    <w:rsid w:val="00FA6AE5"/>
    <w:rsid w:val="00FB1167"/>
    <w:rsid w:val="00FB40C3"/>
    <w:rsid w:val="00FB5211"/>
    <w:rsid w:val="00FB6481"/>
    <w:rsid w:val="00FB670E"/>
    <w:rsid w:val="00FB6848"/>
    <w:rsid w:val="00FB716A"/>
    <w:rsid w:val="00FB7217"/>
    <w:rsid w:val="00FC0970"/>
    <w:rsid w:val="00FC30E9"/>
    <w:rsid w:val="00FC316E"/>
    <w:rsid w:val="00FC3DB1"/>
    <w:rsid w:val="00FC4FF3"/>
    <w:rsid w:val="00FC61A6"/>
    <w:rsid w:val="00FC635C"/>
    <w:rsid w:val="00FC6701"/>
    <w:rsid w:val="00FC7FD0"/>
    <w:rsid w:val="00FD0C60"/>
    <w:rsid w:val="00FD0D51"/>
    <w:rsid w:val="00FD204A"/>
    <w:rsid w:val="00FD2349"/>
    <w:rsid w:val="00FE04BD"/>
    <w:rsid w:val="00FE1183"/>
    <w:rsid w:val="00FE1DA1"/>
    <w:rsid w:val="00FE2D82"/>
    <w:rsid w:val="00FE3E81"/>
    <w:rsid w:val="00FE4073"/>
    <w:rsid w:val="00FE6272"/>
    <w:rsid w:val="00FE6BAA"/>
    <w:rsid w:val="00FF4876"/>
    <w:rsid w:val="00FF555B"/>
    <w:rsid w:val="00FF6F86"/>
    <w:rsid w:val="02021D56"/>
    <w:rsid w:val="0256755B"/>
    <w:rsid w:val="034D6571"/>
    <w:rsid w:val="03543966"/>
    <w:rsid w:val="037554BB"/>
    <w:rsid w:val="03B905E3"/>
    <w:rsid w:val="07F923A1"/>
    <w:rsid w:val="08CB04FB"/>
    <w:rsid w:val="09EE7359"/>
    <w:rsid w:val="0A31002A"/>
    <w:rsid w:val="0A4941EF"/>
    <w:rsid w:val="0A5E0911"/>
    <w:rsid w:val="0A784D07"/>
    <w:rsid w:val="0B821988"/>
    <w:rsid w:val="0C1D2188"/>
    <w:rsid w:val="0F6920D6"/>
    <w:rsid w:val="0F8B3A2D"/>
    <w:rsid w:val="0F8C59E8"/>
    <w:rsid w:val="0FA24C0A"/>
    <w:rsid w:val="0FF4448A"/>
    <w:rsid w:val="10494F08"/>
    <w:rsid w:val="11EA4F9D"/>
    <w:rsid w:val="136521D2"/>
    <w:rsid w:val="14985759"/>
    <w:rsid w:val="149C7709"/>
    <w:rsid w:val="15EA1883"/>
    <w:rsid w:val="15FA2BC8"/>
    <w:rsid w:val="176F4F02"/>
    <w:rsid w:val="197842C3"/>
    <w:rsid w:val="199C787C"/>
    <w:rsid w:val="1A4436EF"/>
    <w:rsid w:val="1B4E54C5"/>
    <w:rsid w:val="1CFD3156"/>
    <w:rsid w:val="1E5F5CBE"/>
    <w:rsid w:val="1F2A3EE6"/>
    <w:rsid w:val="1FF71879"/>
    <w:rsid w:val="23971A56"/>
    <w:rsid w:val="23C36061"/>
    <w:rsid w:val="24955C14"/>
    <w:rsid w:val="257C6E0B"/>
    <w:rsid w:val="269221D6"/>
    <w:rsid w:val="26ED31F0"/>
    <w:rsid w:val="26EF06E2"/>
    <w:rsid w:val="279414FB"/>
    <w:rsid w:val="28416034"/>
    <w:rsid w:val="286F3CE6"/>
    <w:rsid w:val="28C56C0B"/>
    <w:rsid w:val="2A033BE6"/>
    <w:rsid w:val="2A2D4F40"/>
    <w:rsid w:val="2A45062D"/>
    <w:rsid w:val="2BEF7831"/>
    <w:rsid w:val="2C6622DF"/>
    <w:rsid w:val="2CA7654E"/>
    <w:rsid w:val="2D5056CD"/>
    <w:rsid w:val="2E296A4A"/>
    <w:rsid w:val="2E8F766D"/>
    <w:rsid w:val="2EF41FE4"/>
    <w:rsid w:val="2F8C1DF7"/>
    <w:rsid w:val="301C3321"/>
    <w:rsid w:val="30354230"/>
    <w:rsid w:val="30A070D3"/>
    <w:rsid w:val="30D16044"/>
    <w:rsid w:val="31CB093C"/>
    <w:rsid w:val="322E1194"/>
    <w:rsid w:val="33D628D7"/>
    <w:rsid w:val="33E17B20"/>
    <w:rsid w:val="343A21BD"/>
    <w:rsid w:val="34E45A0E"/>
    <w:rsid w:val="35515208"/>
    <w:rsid w:val="35586B6B"/>
    <w:rsid w:val="35CE47D2"/>
    <w:rsid w:val="36120264"/>
    <w:rsid w:val="367D6EF4"/>
    <w:rsid w:val="36851D82"/>
    <w:rsid w:val="3690024F"/>
    <w:rsid w:val="3BF1120C"/>
    <w:rsid w:val="3BF97BF5"/>
    <w:rsid w:val="3C086B8B"/>
    <w:rsid w:val="3C6C0E2E"/>
    <w:rsid w:val="3DD32340"/>
    <w:rsid w:val="3F8A5D66"/>
    <w:rsid w:val="41440CC3"/>
    <w:rsid w:val="418C00E2"/>
    <w:rsid w:val="419A747D"/>
    <w:rsid w:val="459D696F"/>
    <w:rsid w:val="47F14B91"/>
    <w:rsid w:val="485E2A48"/>
    <w:rsid w:val="488F0220"/>
    <w:rsid w:val="4A205E4A"/>
    <w:rsid w:val="4A4970F0"/>
    <w:rsid w:val="4A5F0AA4"/>
    <w:rsid w:val="4BCA6B1B"/>
    <w:rsid w:val="4EDA0742"/>
    <w:rsid w:val="4F2E08A8"/>
    <w:rsid w:val="4F89218B"/>
    <w:rsid w:val="504D0FCF"/>
    <w:rsid w:val="51CD67EE"/>
    <w:rsid w:val="528D2B2D"/>
    <w:rsid w:val="53296F93"/>
    <w:rsid w:val="537B2146"/>
    <w:rsid w:val="5390466A"/>
    <w:rsid w:val="53E45333"/>
    <w:rsid w:val="55016084"/>
    <w:rsid w:val="55A2658D"/>
    <w:rsid w:val="563D04AA"/>
    <w:rsid w:val="56EC1A28"/>
    <w:rsid w:val="58D141C7"/>
    <w:rsid w:val="59532E8B"/>
    <w:rsid w:val="5C4952DC"/>
    <w:rsid w:val="5D56669E"/>
    <w:rsid w:val="5DB46EC8"/>
    <w:rsid w:val="61CC1CD1"/>
    <w:rsid w:val="620479E4"/>
    <w:rsid w:val="62255EA3"/>
    <w:rsid w:val="6264757B"/>
    <w:rsid w:val="63671FE3"/>
    <w:rsid w:val="63D53F5A"/>
    <w:rsid w:val="64A27E2A"/>
    <w:rsid w:val="64B93850"/>
    <w:rsid w:val="663F30CF"/>
    <w:rsid w:val="679E5B77"/>
    <w:rsid w:val="68573C5C"/>
    <w:rsid w:val="685D5648"/>
    <w:rsid w:val="692D249D"/>
    <w:rsid w:val="6C235981"/>
    <w:rsid w:val="6D8D3CCB"/>
    <w:rsid w:val="6E4B4E87"/>
    <w:rsid w:val="6EBE38DA"/>
    <w:rsid w:val="6ECE20D9"/>
    <w:rsid w:val="6F292174"/>
    <w:rsid w:val="70C8583A"/>
    <w:rsid w:val="71671D9D"/>
    <w:rsid w:val="71A22A3A"/>
    <w:rsid w:val="72456128"/>
    <w:rsid w:val="726A7F45"/>
    <w:rsid w:val="72A05985"/>
    <w:rsid w:val="72C37A54"/>
    <w:rsid w:val="72F871DA"/>
    <w:rsid w:val="745436E9"/>
    <w:rsid w:val="747F27F8"/>
    <w:rsid w:val="74951F55"/>
    <w:rsid w:val="74DA147A"/>
    <w:rsid w:val="77AB26AE"/>
    <w:rsid w:val="79485447"/>
    <w:rsid w:val="796A791D"/>
    <w:rsid w:val="7A4F54F5"/>
    <w:rsid w:val="7A553384"/>
    <w:rsid w:val="7BFB64B4"/>
    <w:rsid w:val="7CC83BA3"/>
    <w:rsid w:val="7DE6101D"/>
    <w:rsid w:val="7E2F6C16"/>
    <w:rsid w:val="7F556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qFormat/>
    <w:uiPriority w:val="0"/>
    <w:pPr>
      <w:keepNext/>
      <w:keepLines/>
      <w:numPr>
        <w:ilvl w:val="6"/>
        <w:numId w:val="1"/>
      </w:numPr>
      <w:spacing w:before="240" w:after="64" w:line="317" w:lineRule="auto"/>
      <w:outlineLvl w:val="6"/>
    </w:pPr>
    <w:rPr>
      <w:b/>
      <w:sz w:val="24"/>
    </w:rPr>
  </w:style>
  <w:style w:type="paragraph" w:styleId="9">
    <w:name w:val="heading 8"/>
    <w:basedOn w:val="1"/>
    <w:next w:val="1"/>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7"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360" w:lineRule="auto"/>
      <w:ind w:left="100" w:leftChars="400" w:hanging="200" w:hangingChars="200"/>
    </w:pPr>
    <w:rPr>
      <w:sz w:val="24"/>
      <w:szCs w:val="24"/>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Body Text"/>
    <w:basedOn w:val="15"/>
    <w:next w:val="15"/>
    <w:qFormat/>
    <w:uiPriority w:val="0"/>
    <w:pPr>
      <w:spacing w:after="120" w:line="360" w:lineRule="auto"/>
    </w:pPr>
    <w:rPr>
      <w:sz w:val="24"/>
      <w:szCs w:val="24"/>
    </w:rPr>
  </w:style>
  <w:style w:type="paragraph" w:styleId="15">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6">
    <w:name w:val="Body Text Indent"/>
    <w:basedOn w:val="1"/>
    <w:qFormat/>
    <w:uiPriority w:val="0"/>
    <w:pPr>
      <w:spacing w:after="120" w:line="360" w:lineRule="auto"/>
      <w:ind w:left="420" w:leftChars="200"/>
    </w:pPr>
    <w:rPr>
      <w:sz w:val="24"/>
      <w:szCs w:val="24"/>
    </w:rPr>
  </w:style>
  <w:style w:type="paragraph" w:styleId="17">
    <w:name w:val="List 2"/>
    <w:basedOn w:val="1"/>
    <w:qFormat/>
    <w:uiPriority w:val="0"/>
    <w:pPr>
      <w:spacing w:line="360" w:lineRule="auto"/>
      <w:ind w:left="100" w:leftChars="200" w:hanging="200" w:hangingChars="200"/>
    </w:pPr>
    <w:rPr>
      <w:sz w:val="24"/>
      <w:szCs w:val="24"/>
    </w:rPr>
  </w:style>
  <w:style w:type="paragraph" w:styleId="18">
    <w:name w:val="Plain Text"/>
    <w:basedOn w:val="1"/>
    <w:qFormat/>
    <w:uiPriority w:val="0"/>
    <w:rPr>
      <w:rFonts w:ascii="宋体" w:hAnsi="Courier New"/>
    </w:rPr>
  </w:style>
  <w:style w:type="paragraph" w:styleId="19">
    <w:name w:val="Date"/>
    <w:basedOn w:val="1"/>
    <w:next w:val="1"/>
    <w:qFormat/>
    <w:uiPriority w:val="0"/>
    <w:pPr>
      <w:ind w:left="100" w:leftChars="2500"/>
    </w:p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rPr>
  </w:style>
  <w:style w:type="paragraph" w:styleId="22">
    <w:name w:val="header"/>
    <w:basedOn w:val="1"/>
    <w:qFormat/>
    <w:uiPriority w:val="0"/>
    <w:pPr>
      <w:tabs>
        <w:tab w:val="center" w:pos="4153"/>
        <w:tab w:val="right" w:pos="8306"/>
      </w:tabs>
      <w:snapToGrid w:val="0"/>
      <w:jc w:val="center"/>
    </w:pPr>
    <w:rPr>
      <w:sz w:val="18"/>
    </w:rPr>
  </w:style>
  <w:style w:type="paragraph" w:styleId="23">
    <w:name w:val="toc 1"/>
    <w:basedOn w:val="1"/>
    <w:next w:val="1"/>
    <w:qFormat/>
    <w:uiPriority w:val="39"/>
  </w:style>
  <w:style w:type="paragraph" w:styleId="24">
    <w:name w:val="List 5"/>
    <w:basedOn w:val="1"/>
    <w:qFormat/>
    <w:uiPriority w:val="0"/>
    <w:pPr>
      <w:spacing w:line="360" w:lineRule="auto"/>
      <w:ind w:left="100" w:leftChars="800" w:hanging="200" w:hangingChars="200"/>
    </w:pPr>
    <w:rPr>
      <w:sz w:val="24"/>
      <w:szCs w:val="24"/>
    </w:rPr>
  </w:style>
  <w:style w:type="paragraph" w:styleId="25">
    <w:name w:val="List 4"/>
    <w:basedOn w:val="1"/>
    <w:qFormat/>
    <w:uiPriority w:val="0"/>
    <w:pPr>
      <w:spacing w:line="360" w:lineRule="auto"/>
      <w:ind w:left="100" w:leftChars="600" w:hanging="200" w:hangingChars="200"/>
    </w:pPr>
    <w:rPr>
      <w:sz w:val="24"/>
      <w:szCs w:val="24"/>
    </w:rPr>
  </w:style>
  <w:style w:type="paragraph" w:styleId="26">
    <w:name w:val="Normal (Web)"/>
    <w:basedOn w:val="1"/>
    <w:semiHidden/>
    <w:unhideWhenUsed/>
    <w:qFormat/>
    <w:uiPriority w:val="0"/>
    <w:pPr>
      <w:spacing w:beforeAutospacing="1" w:afterAutospacing="1"/>
      <w:jc w:val="left"/>
    </w:pPr>
    <w:rPr>
      <w:kern w:val="0"/>
      <w:sz w:val="24"/>
    </w:rPr>
  </w:style>
  <w:style w:type="paragraph" w:styleId="27">
    <w:name w:val="Body Text First Indent"/>
    <w:basedOn w:val="14"/>
    <w:qFormat/>
    <w:uiPriority w:val="0"/>
    <w:pPr>
      <w:ind w:firstLine="420" w:firstLineChars="100"/>
    </w:pPr>
  </w:style>
  <w:style w:type="paragraph" w:styleId="28">
    <w:name w:val="Body Text First Indent 2"/>
    <w:basedOn w:val="16"/>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basedOn w:val="31"/>
    <w:qFormat/>
    <w:uiPriority w:val="0"/>
    <w:rPr>
      <w:color w:val="0000FF"/>
      <w:u w:val="single"/>
    </w:rPr>
  </w:style>
  <w:style w:type="paragraph" w:customStyle="1" w:styleId="36">
    <w:name w:val="纯文本1"/>
    <w:basedOn w:val="1"/>
    <w:qFormat/>
    <w:uiPriority w:val="0"/>
    <w:rPr>
      <w:rFonts w:ascii="宋体" w:hAnsi="Courier New" w:cs="宋体"/>
      <w:szCs w:val="21"/>
    </w:rPr>
  </w:style>
  <w:style w:type="paragraph" w:customStyle="1" w:styleId="37">
    <w:name w:val="Char"/>
    <w:basedOn w:val="1"/>
    <w:qFormat/>
    <w:uiPriority w:val="0"/>
    <w:pPr>
      <w:widowControl/>
      <w:spacing w:after="160" w:line="240" w:lineRule="exact"/>
      <w:jc w:val="left"/>
    </w:pPr>
    <w:rPr>
      <w:rFonts w:ascii="Verdana" w:hAnsi="Verdana" w:eastAsia="MS Mincho" w:cs="Verdana"/>
      <w:kern w:val="0"/>
      <w:sz w:val="20"/>
      <w:lang w:eastAsia="en-US" w:bidi="kn-IN"/>
    </w:rPr>
  </w:style>
  <w:style w:type="paragraph" w:customStyle="1" w:styleId="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character" w:customStyle="1" w:styleId="44">
    <w:name w:val="页脚 字符"/>
    <w:link w:val="21"/>
    <w:qFormat/>
    <w:uiPriority w:val="99"/>
    <w:rPr>
      <w:kern w:val="2"/>
      <w:sz w:val="18"/>
    </w:rPr>
  </w:style>
  <w:style w:type="character" w:customStyle="1" w:styleId="45">
    <w:name w:val="纯文本 Char"/>
    <w:link w:val="46"/>
    <w:qFormat/>
    <w:uiPriority w:val="0"/>
    <w:rPr>
      <w:rFonts w:ascii="宋体" w:hAnsi="Courier New" w:cs="Courier New"/>
      <w:kern w:val="2"/>
      <w:sz w:val="21"/>
      <w:szCs w:val="21"/>
    </w:rPr>
  </w:style>
  <w:style w:type="paragraph" w:customStyle="1" w:styleId="46">
    <w:name w:val="纯文本11"/>
    <w:basedOn w:val="1"/>
    <w:link w:val="45"/>
    <w:qFormat/>
    <w:uiPriority w:val="0"/>
    <w:rPr>
      <w:rFonts w:ascii="宋体" w:hAnsi="Courier New"/>
      <w:szCs w:val="21"/>
    </w:rPr>
  </w:style>
  <w:style w:type="paragraph" w:customStyle="1" w:styleId="47">
    <w:name w:val="样式32"/>
    <w:basedOn w:val="1"/>
    <w:qFormat/>
    <w:uiPriority w:val="0"/>
    <w:rPr>
      <w:rFonts w:eastAsia="华文中宋"/>
      <w:sz w:val="24"/>
      <w:szCs w:val="24"/>
    </w:rPr>
  </w:style>
  <w:style w:type="character" w:customStyle="1" w:styleId="48">
    <w:name w:val="不明显强调1"/>
    <w:basedOn w:val="31"/>
    <w:qFormat/>
    <w:uiPriority w:val="19"/>
    <w:rPr>
      <w:i/>
      <w:iCs/>
      <w:color w:val="808080"/>
    </w:rPr>
  </w:style>
  <w:style w:type="paragraph" w:customStyle="1" w:styleId="49">
    <w:name w:val="纯文本12"/>
    <w:basedOn w:val="1"/>
    <w:qFormat/>
    <w:uiPriority w:val="0"/>
    <w:rPr>
      <w:rFonts w:ascii="宋体" w:hAnsi="Courier New"/>
      <w:kern w:val="0"/>
      <w:sz w:val="20"/>
      <w:szCs w:val="21"/>
    </w:rPr>
  </w:style>
  <w:style w:type="paragraph" w:styleId="50">
    <w:name w:val="List Paragraph"/>
    <w:basedOn w:val="1"/>
    <w:qFormat/>
    <w:uiPriority w:val="34"/>
    <w:pPr>
      <w:ind w:firstLine="420" w:firstLineChars="200"/>
    </w:pPr>
    <w:rPr>
      <w:rFonts w:ascii="Calibri" w:hAnsi="Calibri"/>
      <w:szCs w:val="22"/>
    </w:rPr>
  </w:style>
  <w:style w:type="paragraph" w:customStyle="1" w:styleId="51">
    <w:name w:val="标题1"/>
    <w:basedOn w:val="3"/>
    <w:qFormat/>
    <w:uiPriority w:val="0"/>
    <w:pPr>
      <w:widowControl/>
      <w:numPr>
        <w:numId w:val="0"/>
      </w:numPr>
      <w:tabs>
        <w:tab w:val="left" w:pos="4032"/>
      </w:tabs>
      <w:spacing w:line="240" w:lineRule="auto"/>
      <w:ind w:left="4032" w:hanging="432"/>
      <w:jc w:val="left"/>
    </w:pPr>
    <w:rPr>
      <w:rFonts w:ascii="华文细黑"/>
      <w:bCs/>
      <w:snapToGrid w:val="0"/>
      <w:kern w:val="0"/>
      <w:sz w:val="30"/>
      <w:szCs w:val="44"/>
    </w:rPr>
  </w:style>
  <w:style w:type="character" w:customStyle="1" w:styleId="52">
    <w:name w:val="font131"/>
    <w:basedOn w:val="31"/>
    <w:qFormat/>
    <w:uiPriority w:val="0"/>
    <w:rPr>
      <w:rFonts w:hint="default" w:ascii="Tahoma" w:hAnsi="Tahoma" w:eastAsia="Tahoma" w:cs="Tahoma"/>
      <w:color w:val="000000"/>
      <w:sz w:val="20"/>
      <w:szCs w:val="20"/>
      <w:u w:val="none"/>
    </w:rPr>
  </w:style>
  <w:style w:type="character" w:customStyle="1" w:styleId="53">
    <w:name w:val="font01"/>
    <w:basedOn w:val="31"/>
    <w:qFormat/>
    <w:uiPriority w:val="0"/>
    <w:rPr>
      <w:rFonts w:hint="eastAsia" w:ascii="宋体" w:hAnsi="宋体" w:eastAsia="宋体" w:cs="宋体"/>
      <w:color w:val="000000"/>
      <w:sz w:val="20"/>
      <w:szCs w:val="20"/>
      <w:u w:val="none"/>
    </w:rPr>
  </w:style>
  <w:style w:type="character" w:customStyle="1" w:styleId="54">
    <w:name w:val="font121"/>
    <w:basedOn w:val="31"/>
    <w:qFormat/>
    <w:uiPriority w:val="0"/>
    <w:rPr>
      <w:rFonts w:hint="eastAsia" w:ascii="宋体" w:hAnsi="宋体" w:eastAsia="宋体" w:cs="宋体"/>
      <w:color w:val="000000"/>
      <w:sz w:val="20"/>
      <w:szCs w:val="20"/>
      <w:u w:val="none"/>
    </w:rPr>
  </w:style>
  <w:style w:type="character" w:customStyle="1" w:styleId="55">
    <w:name w:val="font111"/>
    <w:basedOn w:val="31"/>
    <w:qFormat/>
    <w:uiPriority w:val="0"/>
    <w:rPr>
      <w:rFonts w:hint="eastAsia" w:ascii="宋体" w:hAnsi="宋体" w:eastAsia="宋体" w:cs="宋体"/>
      <w:color w:val="000000"/>
      <w:sz w:val="20"/>
      <w:szCs w:val="20"/>
      <w:u w:val="none"/>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Table Text"/>
    <w:basedOn w:val="1"/>
    <w:semiHidden/>
    <w:qFormat/>
    <w:uiPriority w:val="0"/>
    <w:rPr>
      <w:rFonts w:ascii="宋体" w:hAnsi="宋体" w:eastAsia="宋体" w:cs="宋体"/>
      <w:sz w:val="19"/>
      <w:szCs w:val="19"/>
      <w:lang w:val="en-US" w:eastAsia="en-US" w:bidi="ar-SA"/>
    </w:rPr>
  </w:style>
  <w:style w:type="paragraph" w:customStyle="1" w:styleId="58">
    <w:name w:val="目录 21"/>
    <w:basedOn w:val="1"/>
    <w:next w:val="1"/>
    <w:qFormat/>
    <w:uiPriority w:val="0"/>
    <w:pPr>
      <w:spacing w:before="100" w:beforeAutospacing="1" w:after="100" w:afterAutospacing="1"/>
      <w:ind w:left="420" w:leftChars="200"/>
    </w:pPr>
  </w:style>
  <w:style w:type="paragraph" w:customStyle="1" w:styleId="59">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60">
    <w:name w:val="WPSOffice手动目录 1"/>
    <w:qFormat/>
    <w:uiPriority w:val="0"/>
    <w:rPr>
      <w:rFonts w:asciiTheme="minorHAnsi" w:hAnsiTheme="minorHAnsi" w:eastAsiaTheme="minorHAnsi"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0FD30-E3C8-4658-A28D-CA19292B384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12728</Words>
  <Characters>13131</Characters>
  <Lines>180</Lines>
  <Paragraphs>50</Paragraphs>
  <TotalTime>2</TotalTime>
  <ScaleCrop>false</ScaleCrop>
  <LinksUpToDate>false</LinksUpToDate>
  <CharactersWithSpaces>14132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2018-01-12T12:16:00Z</dcterms:created>
  <dc:creator>微软用户</dc:creator>
  <cp:lastModifiedBy>朱云逸</cp:lastModifiedBy>
  <cp:lastPrinted>2017-07-13T02:09:00Z</cp:lastPrinted>
  <dcterms:modified xsi:type="dcterms:W3CDTF">2025-03-06T10:35:27Z</dcterms:modified>
  <dc:title>土石方工程施工承包合同</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68BBB119DEA24A168B6C3F564E1C31A9_13</vt:lpwstr>
  </property>
  <property fmtid="{D5CDD505-2E9C-101B-9397-08002B2CF9AE}" pid="4" name="KSOTemplateDocerSaveRecord">
    <vt:lpwstr>eyJoZGlkIjoiYWFiOGU3ZjE3MWUxN2Q1ZDA2ODQzYjBkM2ExMGZkNTMiLCJ1c2VySWQiOiI1MTg5MTI2NDMifQ==</vt:lpwstr>
  </property>
</Properties>
</file>