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4FADE">
      <w:pPr>
        <w:bidi w:val="0"/>
        <w:rPr>
          <w:rFonts w:hint="default" w:ascii="仿宋_GB2312" w:hAnsi="仿宋_GB2312" w:eastAsia="仿宋_GB2312" w:cs="仿宋_GB2312"/>
          <w:color w:val="auto"/>
          <w:sz w:val="32"/>
          <w:szCs w:val="32"/>
          <w:lang w:val="en-US" w:eastAsia="zh-CN"/>
        </w:rPr>
      </w:pPr>
      <w:bookmarkStart w:id="31" w:name="_GoBack"/>
      <w:bookmarkEnd w:id="31"/>
      <w:r>
        <w:rPr>
          <w:rFonts w:hint="eastAsia" w:ascii="仿宋_GB2312" w:hAnsi="仿宋_GB2312" w:eastAsia="仿宋_GB2312" w:cs="仿宋_GB2312"/>
          <w:color w:val="auto"/>
          <w:sz w:val="32"/>
          <w:szCs w:val="32"/>
          <w:lang w:val="en-US" w:eastAsia="zh-CN"/>
        </w:rPr>
        <w:t>附件一：</w:t>
      </w:r>
    </w:p>
    <w:p w14:paraId="79CF4A8C">
      <w:pPr>
        <w:bidi w:val="0"/>
        <w:rPr>
          <w:rFonts w:hint="eastAsia" w:ascii="仿宋_GB2312" w:hAnsi="仿宋_GB2312" w:eastAsia="仿宋_GB2312" w:cs="仿宋_GB2312"/>
          <w:color w:val="auto"/>
          <w:sz w:val="32"/>
          <w:szCs w:val="32"/>
        </w:rPr>
      </w:pPr>
    </w:p>
    <w:p w14:paraId="06560354">
      <w:pPr>
        <w:bidi w:val="0"/>
        <w:jc w:val="center"/>
        <w:outlineLvl w:val="0"/>
        <w:rPr>
          <w:rFonts w:hint="eastAsia" w:ascii="方正小标宋简体" w:hAnsi="方正小标宋简体" w:eastAsia="方正小标宋简体" w:cs="方正小标宋简体"/>
          <w:color w:val="auto"/>
          <w:sz w:val="44"/>
          <w:szCs w:val="52"/>
        </w:rPr>
      </w:pPr>
      <w:bookmarkStart w:id="0" w:name="_Toc13096"/>
      <w:bookmarkStart w:id="1" w:name="_Toc12106"/>
      <w:r>
        <w:rPr>
          <w:rFonts w:hint="eastAsia" w:ascii="方正小标宋简体" w:hAnsi="方正小标宋简体" w:eastAsia="方正小标宋简体" w:cs="方正小标宋简体"/>
          <w:color w:val="auto"/>
          <w:sz w:val="44"/>
          <w:szCs w:val="52"/>
        </w:rPr>
        <w:t>海南联合资产管理有限公司</w:t>
      </w:r>
      <w:bookmarkEnd w:id="0"/>
      <w:bookmarkEnd w:id="1"/>
    </w:p>
    <w:p w14:paraId="66788B7C">
      <w:pPr>
        <w:bidi w:val="0"/>
        <w:jc w:val="center"/>
        <w:outlineLvl w:val="0"/>
        <w:rPr>
          <w:rFonts w:hint="eastAsia" w:ascii="方正小标宋简体" w:hAnsi="方正小标宋简体" w:eastAsia="方正小标宋简体" w:cs="方正小标宋简体"/>
          <w:color w:val="auto"/>
          <w:sz w:val="44"/>
          <w:szCs w:val="52"/>
          <w:lang w:val="en-US" w:eastAsia="zh-CN"/>
        </w:rPr>
      </w:pPr>
      <w:bookmarkStart w:id="2" w:name="_Toc3610"/>
      <w:bookmarkStart w:id="3" w:name="_Toc1250"/>
      <w:r>
        <w:rPr>
          <w:rFonts w:hint="eastAsia" w:ascii="方正小标宋简体" w:hAnsi="方正小标宋简体" w:eastAsia="方正小标宋简体" w:cs="方正小标宋简体"/>
          <w:color w:val="auto"/>
          <w:sz w:val="44"/>
          <w:szCs w:val="52"/>
          <w:lang w:val="en-US" w:eastAsia="zh-CN"/>
        </w:rPr>
        <w:t>公开比选</w:t>
      </w:r>
      <w:r>
        <w:rPr>
          <w:rFonts w:hint="eastAsia" w:ascii="方正小标宋简体" w:hAnsi="方正小标宋简体" w:eastAsia="方正小标宋简体" w:cs="方正小标宋简体"/>
          <w:color w:val="auto"/>
          <w:sz w:val="44"/>
          <w:szCs w:val="52"/>
        </w:rPr>
        <w:t>常年法律顾问</w:t>
      </w:r>
      <w:bookmarkEnd w:id="2"/>
      <w:r>
        <w:rPr>
          <w:rFonts w:hint="eastAsia" w:ascii="方正小标宋简体" w:hAnsi="方正小标宋简体" w:eastAsia="方正小标宋简体" w:cs="方正小标宋简体"/>
          <w:color w:val="auto"/>
          <w:sz w:val="44"/>
          <w:szCs w:val="52"/>
          <w:lang w:val="en-US" w:eastAsia="zh-CN"/>
        </w:rPr>
        <w:t>项目</w:t>
      </w:r>
      <w:bookmarkEnd w:id="3"/>
    </w:p>
    <w:p w14:paraId="6ED1A40B">
      <w:pPr>
        <w:bidi w:val="0"/>
        <w:rPr>
          <w:rFonts w:hint="eastAsia" w:ascii="仿宋_GB2312" w:hAnsi="仿宋_GB2312" w:eastAsia="仿宋_GB2312" w:cs="仿宋_GB2312"/>
          <w:color w:val="auto"/>
          <w:sz w:val="32"/>
          <w:szCs w:val="32"/>
        </w:rPr>
      </w:pPr>
    </w:p>
    <w:p w14:paraId="0F440614">
      <w:pPr>
        <w:bidi w:val="0"/>
        <w:rPr>
          <w:rFonts w:hint="eastAsia" w:ascii="仿宋_GB2312" w:hAnsi="仿宋_GB2312" w:eastAsia="仿宋_GB2312" w:cs="仿宋_GB2312"/>
          <w:color w:val="auto"/>
          <w:sz w:val="32"/>
          <w:szCs w:val="32"/>
        </w:rPr>
      </w:pPr>
    </w:p>
    <w:p w14:paraId="39F8F5FC">
      <w:pPr>
        <w:bidi w:val="0"/>
        <w:jc w:val="center"/>
        <w:rPr>
          <w:rFonts w:hint="eastAsia" w:ascii="方正小标宋简体" w:hAnsi="方正小标宋简体" w:eastAsia="方正小标宋简体" w:cs="方正小标宋简体"/>
          <w:color w:val="auto"/>
          <w:sz w:val="96"/>
          <w:szCs w:val="96"/>
          <w:lang w:val="en-US" w:eastAsia="zh-CN"/>
        </w:rPr>
      </w:pPr>
      <w:r>
        <w:rPr>
          <w:rFonts w:hint="eastAsia" w:ascii="方正小标宋简体" w:hAnsi="方正小标宋简体" w:eastAsia="方正小标宋简体" w:cs="方正小标宋简体"/>
          <w:color w:val="auto"/>
          <w:sz w:val="96"/>
          <w:szCs w:val="96"/>
          <w:lang w:val="en-US" w:eastAsia="zh-CN"/>
        </w:rPr>
        <w:t>比</w:t>
      </w:r>
    </w:p>
    <w:p w14:paraId="583516C4">
      <w:pPr>
        <w:bidi w:val="0"/>
        <w:jc w:val="center"/>
        <w:rPr>
          <w:rFonts w:hint="eastAsia" w:ascii="方正小标宋简体" w:hAnsi="方正小标宋简体" w:eastAsia="方正小标宋简体" w:cs="方正小标宋简体"/>
          <w:color w:val="auto"/>
          <w:sz w:val="96"/>
          <w:szCs w:val="96"/>
          <w:lang w:val="en-US" w:eastAsia="zh-CN"/>
        </w:rPr>
      </w:pPr>
      <w:r>
        <w:rPr>
          <w:rFonts w:hint="eastAsia" w:ascii="方正小标宋简体" w:hAnsi="方正小标宋简体" w:eastAsia="方正小标宋简体" w:cs="方正小标宋简体"/>
          <w:color w:val="auto"/>
          <w:sz w:val="96"/>
          <w:szCs w:val="96"/>
          <w:lang w:val="en-US" w:eastAsia="zh-CN"/>
        </w:rPr>
        <w:t>选</w:t>
      </w:r>
    </w:p>
    <w:p w14:paraId="5A873809">
      <w:pPr>
        <w:bidi w:val="0"/>
        <w:jc w:val="center"/>
        <w:rPr>
          <w:rFonts w:hint="eastAsia" w:ascii="方正小标宋简体" w:hAnsi="方正小标宋简体" w:eastAsia="方正小标宋简体" w:cs="方正小标宋简体"/>
          <w:color w:val="auto"/>
          <w:sz w:val="96"/>
          <w:szCs w:val="96"/>
        </w:rPr>
      </w:pPr>
      <w:r>
        <w:rPr>
          <w:rFonts w:hint="eastAsia" w:ascii="方正小标宋简体" w:hAnsi="方正小标宋简体" w:eastAsia="方正小标宋简体" w:cs="方正小标宋简体"/>
          <w:color w:val="auto"/>
          <w:sz w:val="96"/>
          <w:szCs w:val="96"/>
        </w:rPr>
        <w:t>文</w:t>
      </w:r>
    </w:p>
    <w:p w14:paraId="7262951E">
      <w:pPr>
        <w:bidi w:val="0"/>
        <w:jc w:val="center"/>
        <w:outlineLvl w:val="0"/>
        <w:rPr>
          <w:rFonts w:hint="eastAsia" w:ascii="方正小标宋简体" w:hAnsi="方正小标宋简体" w:eastAsia="方正小标宋简体" w:cs="方正小标宋简体"/>
          <w:color w:val="auto"/>
          <w:sz w:val="96"/>
          <w:szCs w:val="96"/>
        </w:rPr>
      </w:pPr>
      <w:bookmarkStart w:id="4" w:name="_Toc22705"/>
      <w:bookmarkStart w:id="5" w:name="_Toc8767"/>
      <w:r>
        <w:rPr>
          <w:rFonts w:hint="eastAsia" w:ascii="方正小标宋简体" w:hAnsi="方正小标宋简体" w:eastAsia="方正小标宋简体" w:cs="方正小标宋简体"/>
          <w:color w:val="auto"/>
          <w:sz w:val="96"/>
          <w:szCs w:val="96"/>
        </w:rPr>
        <w:t>件</w:t>
      </w:r>
      <w:bookmarkEnd w:id="4"/>
      <w:bookmarkEnd w:id="5"/>
    </w:p>
    <w:p w14:paraId="3346FB01">
      <w:pPr>
        <w:bidi w:val="0"/>
        <w:rPr>
          <w:rFonts w:hint="eastAsia" w:ascii="仿宋_GB2312" w:hAnsi="仿宋_GB2312" w:eastAsia="仿宋_GB2312" w:cs="仿宋_GB2312"/>
          <w:color w:val="auto"/>
          <w:sz w:val="32"/>
          <w:szCs w:val="32"/>
        </w:rPr>
      </w:pPr>
    </w:p>
    <w:p w14:paraId="1626392F">
      <w:pPr>
        <w:bidi w:val="0"/>
        <w:rPr>
          <w:rFonts w:hint="eastAsia" w:ascii="仿宋_GB2312" w:hAnsi="仿宋_GB2312" w:eastAsia="仿宋_GB2312" w:cs="仿宋_GB2312"/>
          <w:color w:val="auto"/>
          <w:sz w:val="32"/>
          <w:szCs w:val="32"/>
        </w:rPr>
      </w:pPr>
    </w:p>
    <w:p w14:paraId="484B14A2">
      <w:pPr>
        <w:bidi w:val="0"/>
        <w:ind w:firstLine="1280" w:firstLineChars="400"/>
        <w:outlineLvl w:val="0"/>
        <w:rPr>
          <w:rFonts w:hint="eastAsia" w:ascii="黑体" w:hAnsi="黑体" w:eastAsia="黑体" w:cs="黑体"/>
          <w:b w:val="0"/>
          <w:bCs w:val="0"/>
          <w:color w:val="auto"/>
          <w:sz w:val="32"/>
          <w:szCs w:val="32"/>
          <w:u w:val="single"/>
          <w:lang w:eastAsia="zh-CN"/>
        </w:rPr>
      </w:pPr>
      <w:bookmarkStart w:id="6" w:name="_Toc2296"/>
      <w:bookmarkStart w:id="7" w:name="_Toc22368"/>
      <w:r>
        <w:rPr>
          <w:rFonts w:hint="eastAsia" w:ascii="黑体" w:hAnsi="黑体" w:eastAsia="黑体" w:cs="黑体"/>
          <w:b w:val="0"/>
          <w:bCs w:val="0"/>
          <w:color w:val="auto"/>
          <w:sz w:val="32"/>
          <w:szCs w:val="32"/>
          <w:lang w:val="en-US" w:eastAsia="zh-CN"/>
        </w:rPr>
        <w:t>采 购 人</w:t>
      </w:r>
      <w:r>
        <w:rPr>
          <w:rFonts w:hint="eastAsia" w:ascii="黑体" w:hAnsi="黑体" w:eastAsia="黑体" w:cs="黑体"/>
          <w:b w:val="0"/>
          <w:bCs w:val="0"/>
          <w:color w:val="auto"/>
          <w:sz w:val="32"/>
          <w:szCs w:val="32"/>
        </w:rPr>
        <w:t>：</w:t>
      </w:r>
      <w:r>
        <w:rPr>
          <w:rFonts w:hint="eastAsia" w:ascii="黑体" w:hAnsi="黑体" w:eastAsia="黑体" w:cs="黑体"/>
          <w:b w:val="0"/>
          <w:bCs w:val="0"/>
          <w:color w:val="auto"/>
          <w:sz w:val="32"/>
          <w:szCs w:val="32"/>
          <w:u w:val="single"/>
        </w:rPr>
        <w:t>海南联合资产管理有限公司</w:t>
      </w:r>
      <w:bookmarkEnd w:id="6"/>
      <w:bookmarkEnd w:id="7"/>
    </w:p>
    <w:p w14:paraId="2F189110">
      <w:pPr>
        <w:bidi w:val="0"/>
        <w:ind w:firstLine="1280" w:firstLineChars="400"/>
        <w:rPr>
          <w:rFonts w:hint="eastAsia" w:ascii="黑体" w:hAnsi="黑体" w:eastAsia="黑体" w:cs="黑体"/>
          <w:b w:val="0"/>
          <w:bCs w:val="0"/>
          <w:color w:val="auto"/>
          <w:sz w:val="32"/>
          <w:szCs w:val="32"/>
          <w:u w:val="single"/>
          <w:lang w:val="en-US" w:eastAsia="zh-CN"/>
        </w:rPr>
      </w:pPr>
      <w:r>
        <w:rPr>
          <w:rFonts w:hint="eastAsia" w:ascii="黑体" w:hAnsi="黑体" w:eastAsia="黑体" w:cs="黑体"/>
          <w:b w:val="0"/>
          <w:bCs w:val="0"/>
          <w:color w:val="auto"/>
          <w:sz w:val="32"/>
          <w:szCs w:val="32"/>
          <w:lang w:val="en-US" w:eastAsia="zh-CN"/>
        </w:rPr>
        <w:t>采购日期</w:t>
      </w:r>
      <w:r>
        <w:rPr>
          <w:rFonts w:hint="eastAsia" w:ascii="黑体" w:hAnsi="黑体" w:eastAsia="黑体" w:cs="黑体"/>
          <w:b w:val="0"/>
          <w:bCs w:val="0"/>
          <w:color w:val="auto"/>
          <w:sz w:val="32"/>
          <w:szCs w:val="32"/>
        </w:rPr>
        <w:t>：</w:t>
      </w:r>
      <w:r>
        <w:rPr>
          <w:rFonts w:hint="eastAsia" w:ascii="黑体" w:hAnsi="黑体" w:eastAsia="黑体" w:cs="黑体"/>
          <w:b w:val="0"/>
          <w:bCs w:val="0"/>
          <w:color w:val="auto"/>
          <w:sz w:val="32"/>
          <w:szCs w:val="32"/>
          <w:u w:val="single"/>
        </w:rPr>
        <w:t xml:space="preserve"> </w:t>
      </w:r>
      <w:r>
        <w:rPr>
          <w:rFonts w:hint="eastAsia" w:ascii="黑体" w:hAnsi="黑体" w:eastAsia="黑体" w:cs="黑体"/>
          <w:b w:val="0"/>
          <w:bCs w:val="0"/>
          <w:color w:val="auto"/>
          <w:sz w:val="32"/>
          <w:szCs w:val="32"/>
          <w:u w:val="single"/>
          <w:lang w:val="en-US" w:eastAsia="zh-CN"/>
        </w:rPr>
        <w:t xml:space="preserve">   </w:t>
      </w:r>
      <w:r>
        <w:rPr>
          <w:rFonts w:hint="eastAsia" w:ascii="黑体" w:hAnsi="黑体" w:eastAsia="黑体" w:cs="黑体"/>
          <w:b w:val="0"/>
          <w:bCs w:val="0"/>
          <w:color w:val="auto"/>
          <w:sz w:val="32"/>
          <w:szCs w:val="32"/>
          <w:u w:val="single"/>
        </w:rPr>
        <w:t>202</w:t>
      </w:r>
      <w:r>
        <w:rPr>
          <w:rFonts w:hint="eastAsia" w:ascii="黑体" w:hAnsi="黑体" w:eastAsia="黑体" w:cs="黑体"/>
          <w:b w:val="0"/>
          <w:bCs w:val="0"/>
          <w:color w:val="auto"/>
          <w:sz w:val="32"/>
          <w:szCs w:val="32"/>
          <w:u w:val="single"/>
          <w:lang w:val="en-US" w:eastAsia="zh-CN"/>
        </w:rPr>
        <w:t>5</w:t>
      </w:r>
      <w:r>
        <w:rPr>
          <w:rFonts w:hint="eastAsia" w:ascii="黑体" w:hAnsi="黑体" w:eastAsia="黑体" w:cs="黑体"/>
          <w:b w:val="0"/>
          <w:bCs w:val="0"/>
          <w:color w:val="auto"/>
          <w:sz w:val="32"/>
          <w:szCs w:val="32"/>
          <w:u w:val="single"/>
        </w:rPr>
        <w:t>年</w:t>
      </w:r>
      <w:r>
        <w:rPr>
          <w:rFonts w:hint="eastAsia" w:ascii="黑体" w:hAnsi="黑体" w:eastAsia="黑体" w:cs="黑体"/>
          <w:b w:val="0"/>
          <w:bCs w:val="0"/>
          <w:color w:val="auto"/>
          <w:sz w:val="32"/>
          <w:szCs w:val="32"/>
          <w:u w:val="single"/>
          <w:lang w:val="en-US" w:eastAsia="zh-CN"/>
        </w:rPr>
        <w:t xml:space="preserve">6月10日    </w:t>
      </w:r>
    </w:p>
    <w:p w14:paraId="73692DA2">
      <w:pPr>
        <w:bidi w:val="0"/>
        <w:ind w:firstLine="1280" w:firstLineChars="400"/>
        <w:rPr>
          <w:rFonts w:hint="eastAsia" w:ascii="黑体" w:hAnsi="黑体" w:eastAsia="黑体" w:cs="黑体"/>
          <w:b w:val="0"/>
          <w:bCs w:val="0"/>
          <w:color w:val="auto"/>
          <w:sz w:val="32"/>
          <w:szCs w:val="32"/>
          <w:u w:val="single"/>
          <w:lang w:val="en-US" w:eastAsia="zh-CN"/>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4FA09ED5">
      <w:pPr>
        <w:keepNext w:val="0"/>
        <w:keepLines w:val="0"/>
        <w:pageBreakBefore w:val="0"/>
        <w:widowControl w:val="0"/>
        <w:kinsoku/>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p w14:paraId="6F0C821E">
      <w:pPr>
        <w:keepNext w:val="0"/>
        <w:keepLines w:val="0"/>
        <w:pageBreakBefore w:val="0"/>
        <w:widowControl w:val="0"/>
        <w:kinsoku/>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sdt>
      <w:sdtPr>
        <w:rPr>
          <w:rFonts w:hint="eastAsia" w:ascii="黑体" w:hAnsi="黑体" w:eastAsia="黑体" w:cs="黑体"/>
          <w:color w:val="auto"/>
          <w:kern w:val="2"/>
          <w:sz w:val="44"/>
          <w:szCs w:val="44"/>
          <w:lang w:val="en-US" w:eastAsia="zh-CN" w:bidi="ar-SA"/>
        </w:rPr>
        <w:id w:val="147475105"/>
        <w15:color w:val="DBDBDB"/>
        <w:docPartObj>
          <w:docPartGallery w:val="Table of Contents"/>
          <w:docPartUnique/>
        </w:docPartObj>
      </w:sdtPr>
      <w:sdtEndPr>
        <w:rPr>
          <w:rFonts w:hint="eastAsia" w:ascii="黑体" w:hAnsi="黑体" w:eastAsia="黑体" w:cs="黑体"/>
          <w:b w:val="0"/>
          <w:bCs w:val="0"/>
          <w:i w:val="0"/>
          <w:iCs w:val="0"/>
          <w:color w:val="auto"/>
          <w:kern w:val="2"/>
          <w:sz w:val="32"/>
          <w:szCs w:val="32"/>
          <w:lang w:val="en-US" w:eastAsia="zh-CN" w:bidi="ar-SA"/>
        </w:rPr>
      </w:sdtEndPr>
      <w:sdtContent>
        <w:p w14:paraId="064AF5D1">
          <w:pPr>
            <w:pStyle w:val="58"/>
            <w:keepNext w:val="0"/>
            <w:keepLines w:val="0"/>
            <w:pageBreakBefore w:val="0"/>
            <w:widowControl w:val="0"/>
            <w:tabs>
              <w:tab w:val="center" w:pos="4880"/>
              <w:tab w:val="left" w:pos="6123"/>
            </w:tabs>
            <w:kinsoku/>
            <w:wordWrap w:val="0"/>
            <w:overflowPunct w:val="0"/>
            <w:topLinePunct w:val="0"/>
            <w:autoSpaceDE/>
            <w:autoSpaceDN/>
            <w:bidi w:val="0"/>
            <w:adjustRightInd/>
            <w:snapToGrid/>
            <w:spacing w:before="313" w:beforeLines="100" w:after="313" w:afterLines="100" w:line="480" w:lineRule="auto"/>
            <w:ind w:left="0" w:leftChars="0"/>
            <w:jc w:val="center"/>
            <w:textAlignment w:val="auto"/>
            <w:rPr>
              <w:rFonts w:hint="eastAsia" w:ascii="黑体" w:hAnsi="黑体" w:eastAsia="黑体" w:cs="黑体"/>
              <w:color w:val="auto"/>
              <w:sz w:val="44"/>
              <w:szCs w:val="44"/>
            </w:rPr>
          </w:pPr>
          <w:bookmarkStart w:id="8" w:name="_Hlk81810315"/>
          <w:bookmarkStart w:id="9" w:name="_Toc5819"/>
          <w:r>
            <w:rPr>
              <w:rFonts w:hint="eastAsia" w:ascii="黑体" w:hAnsi="黑体" w:eastAsia="黑体" w:cs="黑体"/>
              <w:b w:val="0"/>
              <w:color w:val="auto"/>
              <w:kern w:val="2"/>
              <w:sz w:val="44"/>
              <w:szCs w:val="44"/>
              <w:lang w:val="en-US" w:eastAsia="zh-CN" w:bidi="ar-SA"/>
            </w:rPr>
            <w:t>目  录</w:t>
          </w:r>
        </w:p>
        <w:p w14:paraId="29FD303D">
          <w:pPr>
            <w:pStyle w:val="21"/>
            <w:tabs>
              <w:tab w:val="right" w:leader="dot" w:pos="8306"/>
            </w:tabs>
            <w:rPr>
              <w:rFonts w:hint="eastAsia" w:ascii="黑体" w:hAnsi="黑体" w:eastAsia="黑体" w:cs="黑体"/>
              <w:b w:val="0"/>
              <w:bCs w:val="0"/>
              <w:i w:val="0"/>
              <w:iCs w:val="0"/>
              <w:sz w:val="32"/>
              <w:szCs w:val="32"/>
            </w:rPr>
          </w:pPr>
          <w:r>
            <w:rPr>
              <w:rFonts w:hint="eastAsia" w:ascii="黑体" w:hAnsi="黑体" w:eastAsia="黑体" w:cs="黑体"/>
              <w:b w:val="0"/>
              <w:bCs w:val="0"/>
              <w:i w:val="0"/>
              <w:iCs w:val="0"/>
              <w:color w:val="auto"/>
              <w:sz w:val="32"/>
              <w:szCs w:val="32"/>
              <w:lang w:val="en-US" w:eastAsia="zh-CN"/>
            </w:rPr>
            <w:fldChar w:fldCharType="begin"/>
          </w:r>
          <w:r>
            <w:rPr>
              <w:rFonts w:hint="eastAsia" w:ascii="黑体" w:hAnsi="黑体" w:eastAsia="黑体" w:cs="黑体"/>
              <w:b w:val="0"/>
              <w:bCs w:val="0"/>
              <w:i w:val="0"/>
              <w:iCs w:val="0"/>
              <w:color w:val="auto"/>
              <w:sz w:val="32"/>
              <w:szCs w:val="32"/>
              <w:lang w:val="en-US" w:eastAsia="zh-CN"/>
            </w:rPr>
            <w:instrText xml:space="preserve">TOC \o "1-1" \h \u </w:instrText>
          </w:r>
          <w:r>
            <w:rPr>
              <w:rFonts w:hint="eastAsia" w:ascii="黑体" w:hAnsi="黑体" w:eastAsia="黑体" w:cs="黑体"/>
              <w:b w:val="0"/>
              <w:bCs w:val="0"/>
              <w:i w:val="0"/>
              <w:iCs w:val="0"/>
              <w:color w:val="auto"/>
              <w:sz w:val="32"/>
              <w:szCs w:val="32"/>
              <w:lang w:val="en-US" w:eastAsia="zh-CN"/>
            </w:rPr>
            <w:fldChar w:fldCharType="separate"/>
          </w:r>
        </w:p>
        <w:p w14:paraId="269F6D76">
          <w:pPr>
            <w:pStyle w:val="21"/>
            <w:tabs>
              <w:tab w:val="right" w:leader="dot" w:pos="8306"/>
            </w:tabs>
            <w:rPr>
              <w:rFonts w:hint="eastAsia" w:ascii="黑体" w:hAnsi="黑体" w:eastAsia="黑体" w:cs="黑体"/>
              <w:b w:val="0"/>
              <w:bCs w:val="0"/>
              <w:i w:val="0"/>
              <w:iCs w:val="0"/>
              <w:sz w:val="32"/>
              <w:szCs w:val="32"/>
            </w:rPr>
          </w:pPr>
          <w:r>
            <w:rPr>
              <w:rFonts w:hint="eastAsia" w:ascii="黑体" w:hAnsi="黑体" w:eastAsia="黑体" w:cs="黑体"/>
              <w:b w:val="0"/>
              <w:bCs w:val="0"/>
              <w:i w:val="0"/>
              <w:iCs w:val="0"/>
              <w:color w:val="auto"/>
              <w:sz w:val="32"/>
              <w:szCs w:val="32"/>
              <w:lang w:val="en-US" w:eastAsia="zh-CN"/>
            </w:rPr>
            <w:fldChar w:fldCharType="begin"/>
          </w:r>
          <w:r>
            <w:rPr>
              <w:rFonts w:hint="eastAsia" w:ascii="黑体" w:hAnsi="黑体" w:eastAsia="黑体" w:cs="黑体"/>
              <w:b w:val="0"/>
              <w:bCs w:val="0"/>
              <w:i w:val="0"/>
              <w:iCs w:val="0"/>
              <w:sz w:val="32"/>
              <w:szCs w:val="32"/>
              <w:lang w:val="en-US" w:eastAsia="zh-CN"/>
            </w:rPr>
            <w:instrText xml:space="preserve"> HYPERLINK \l _Toc29966 </w:instrText>
          </w:r>
          <w:r>
            <w:rPr>
              <w:rFonts w:hint="eastAsia" w:ascii="黑体" w:hAnsi="黑体" w:eastAsia="黑体" w:cs="黑体"/>
              <w:b w:val="0"/>
              <w:bCs w:val="0"/>
              <w:i w:val="0"/>
              <w:iCs w:val="0"/>
              <w:sz w:val="32"/>
              <w:szCs w:val="32"/>
              <w:lang w:val="en-US" w:eastAsia="zh-CN"/>
            </w:rPr>
            <w:fldChar w:fldCharType="separate"/>
          </w:r>
          <w:r>
            <w:rPr>
              <w:rFonts w:hint="eastAsia" w:ascii="黑体" w:hAnsi="黑体" w:eastAsia="黑体" w:cs="黑体"/>
              <w:b w:val="0"/>
              <w:bCs w:val="0"/>
              <w:i w:val="0"/>
              <w:iCs w:val="0"/>
              <w:sz w:val="32"/>
              <w:szCs w:val="32"/>
              <w:lang w:val="en-US" w:eastAsia="zh-CN"/>
            </w:rPr>
            <w:t>第一章 采购公告</w:t>
          </w:r>
          <w:r>
            <w:rPr>
              <w:rFonts w:hint="eastAsia" w:ascii="黑体" w:hAnsi="黑体" w:eastAsia="黑体" w:cs="黑体"/>
              <w:b w:val="0"/>
              <w:bCs w:val="0"/>
              <w:i w:val="0"/>
              <w:iCs w:val="0"/>
              <w:sz w:val="32"/>
              <w:szCs w:val="32"/>
            </w:rPr>
            <w:tab/>
          </w:r>
          <w:r>
            <w:rPr>
              <w:rFonts w:hint="eastAsia" w:ascii="黑体" w:hAnsi="黑体" w:eastAsia="黑体" w:cs="黑体"/>
              <w:b w:val="0"/>
              <w:bCs w:val="0"/>
              <w:i w:val="0"/>
              <w:iCs w:val="0"/>
              <w:sz w:val="32"/>
              <w:szCs w:val="32"/>
            </w:rPr>
            <w:fldChar w:fldCharType="begin"/>
          </w:r>
          <w:r>
            <w:rPr>
              <w:rFonts w:hint="eastAsia" w:ascii="黑体" w:hAnsi="黑体" w:eastAsia="黑体" w:cs="黑体"/>
              <w:b w:val="0"/>
              <w:bCs w:val="0"/>
              <w:i w:val="0"/>
              <w:iCs w:val="0"/>
              <w:sz w:val="32"/>
              <w:szCs w:val="32"/>
            </w:rPr>
            <w:instrText xml:space="preserve"> PAGEREF _Toc29966 \h </w:instrText>
          </w:r>
          <w:r>
            <w:rPr>
              <w:rFonts w:hint="eastAsia" w:ascii="黑体" w:hAnsi="黑体" w:eastAsia="黑体" w:cs="黑体"/>
              <w:b w:val="0"/>
              <w:bCs w:val="0"/>
              <w:i w:val="0"/>
              <w:iCs w:val="0"/>
              <w:sz w:val="32"/>
              <w:szCs w:val="32"/>
            </w:rPr>
            <w:fldChar w:fldCharType="separate"/>
          </w:r>
          <w:r>
            <w:rPr>
              <w:rFonts w:hint="eastAsia" w:ascii="黑体" w:hAnsi="黑体" w:eastAsia="黑体" w:cs="黑体"/>
              <w:b w:val="0"/>
              <w:bCs w:val="0"/>
              <w:i w:val="0"/>
              <w:iCs w:val="0"/>
              <w:sz w:val="32"/>
              <w:szCs w:val="32"/>
            </w:rPr>
            <w:t>- 1 -</w:t>
          </w:r>
          <w:r>
            <w:rPr>
              <w:rFonts w:hint="eastAsia" w:ascii="黑体" w:hAnsi="黑体" w:eastAsia="黑体" w:cs="黑体"/>
              <w:b w:val="0"/>
              <w:bCs w:val="0"/>
              <w:i w:val="0"/>
              <w:iCs w:val="0"/>
              <w:sz w:val="32"/>
              <w:szCs w:val="32"/>
            </w:rPr>
            <w:fldChar w:fldCharType="end"/>
          </w:r>
          <w:r>
            <w:rPr>
              <w:rFonts w:hint="eastAsia" w:ascii="黑体" w:hAnsi="黑体" w:eastAsia="黑体" w:cs="黑体"/>
              <w:b w:val="0"/>
              <w:bCs w:val="0"/>
              <w:i w:val="0"/>
              <w:iCs w:val="0"/>
              <w:color w:val="auto"/>
              <w:sz w:val="32"/>
              <w:szCs w:val="32"/>
              <w:lang w:val="en-US" w:eastAsia="zh-CN"/>
            </w:rPr>
            <w:fldChar w:fldCharType="end"/>
          </w:r>
        </w:p>
        <w:p w14:paraId="142AFAAC">
          <w:pPr>
            <w:pStyle w:val="21"/>
            <w:tabs>
              <w:tab w:val="right" w:leader="dot" w:pos="8306"/>
            </w:tabs>
            <w:rPr>
              <w:rFonts w:hint="eastAsia" w:ascii="黑体" w:hAnsi="黑体" w:eastAsia="黑体" w:cs="黑体"/>
              <w:b w:val="0"/>
              <w:bCs w:val="0"/>
              <w:i w:val="0"/>
              <w:iCs w:val="0"/>
              <w:sz w:val="32"/>
              <w:szCs w:val="32"/>
            </w:rPr>
          </w:pPr>
          <w:r>
            <w:rPr>
              <w:rFonts w:hint="eastAsia" w:ascii="黑体" w:hAnsi="黑体" w:eastAsia="黑体" w:cs="黑体"/>
              <w:b w:val="0"/>
              <w:bCs w:val="0"/>
              <w:i w:val="0"/>
              <w:iCs w:val="0"/>
              <w:color w:val="auto"/>
              <w:sz w:val="32"/>
              <w:szCs w:val="32"/>
              <w:lang w:val="en-US" w:eastAsia="zh-CN"/>
            </w:rPr>
            <w:fldChar w:fldCharType="begin"/>
          </w:r>
          <w:r>
            <w:rPr>
              <w:rFonts w:hint="eastAsia" w:ascii="黑体" w:hAnsi="黑体" w:eastAsia="黑体" w:cs="黑体"/>
              <w:b w:val="0"/>
              <w:bCs w:val="0"/>
              <w:i w:val="0"/>
              <w:iCs w:val="0"/>
              <w:sz w:val="32"/>
              <w:szCs w:val="32"/>
              <w:lang w:val="en-US" w:eastAsia="zh-CN"/>
            </w:rPr>
            <w:instrText xml:space="preserve"> HYPERLINK \l _Toc31223 </w:instrText>
          </w:r>
          <w:r>
            <w:rPr>
              <w:rFonts w:hint="eastAsia" w:ascii="黑体" w:hAnsi="黑体" w:eastAsia="黑体" w:cs="黑体"/>
              <w:b w:val="0"/>
              <w:bCs w:val="0"/>
              <w:i w:val="0"/>
              <w:iCs w:val="0"/>
              <w:sz w:val="32"/>
              <w:szCs w:val="32"/>
              <w:lang w:val="en-US" w:eastAsia="zh-CN"/>
            </w:rPr>
            <w:fldChar w:fldCharType="separate"/>
          </w:r>
          <w:r>
            <w:rPr>
              <w:rFonts w:hint="eastAsia" w:ascii="黑体" w:hAnsi="黑体" w:eastAsia="黑体" w:cs="黑体"/>
              <w:b w:val="0"/>
              <w:bCs w:val="0"/>
              <w:i w:val="0"/>
              <w:iCs w:val="0"/>
              <w:sz w:val="32"/>
              <w:szCs w:val="32"/>
              <w:lang w:val="en-US" w:eastAsia="zh-CN"/>
            </w:rPr>
            <w:t>第二章 参选须知</w:t>
          </w:r>
          <w:r>
            <w:rPr>
              <w:rFonts w:hint="eastAsia" w:ascii="黑体" w:hAnsi="黑体" w:eastAsia="黑体" w:cs="黑体"/>
              <w:b w:val="0"/>
              <w:bCs w:val="0"/>
              <w:i w:val="0"/>
              <w:iCs w:val="0"/>
              <w:sz w:val="32"/>
              <w:szCs w:val="32"/>
            </w:rPr>
            <w:tab/>
          </w:r>
          <w:r>
            <w:rPr>
              <w:rFonts w:hint="eastAsia" w:ascii="黑体" w:hAnsi="黑体" w:eastAsia="黑体" w:cs="黑体"/>
              <w:b w:val="0"/>
              <w:bCs w:val="0"/>
              <w:i w:val="0"/>
              <w:iCs w:val="0"/>
              <w:sz w:val="32"/>
              <w:szCs w:val="32"/>
            </w:rPr>
            <w:fldChar w:fldCharType="begin"/>
          </w:r>
          <w:r>
            <w:rPr>
              <w:rFonts w:hint="eastAsia" w:ascii="黑体" w:hAnsi="黑体" w:eastAsia="黑体" w:cs="黑体"/>
              <w:b w:val="0"/>
              <w:bCs w:val="0"/>
              <w:i w:val="0"/>
              <w:iCs w:val="0"/>
              <w:sz w:val="32"/>
              <w:szCs w:val="32"/>
            </w:rPr>
            <w:instrText xml:space="preserve"> PAGEREF _Toc31223 \h </w:instrText>
          </w:r>
          <w:r>
            <w:rPr>
              <w:rFonts w:hint="eastAsia" w:ascii="黑体" w:hAnsi="黑体" w:eastAsia="黑体" w:cs="黑体"/>
              <w:b w:val="0"/>
              <w:bCs w:val="0"/>
              <w:i w:val="0"/>
              <w:iCs w:val="0"/>
              <w:sz w:val="32"/>
              <w:szCs w:val="32"/>
            </w:rPr>
            <w:fldChar w:fldCharType="separate"/>
          </w:r>
          <w:r>
            <w:rPr>
              <w:rFonts w:hint="eastAsia" w:ascii="黑体" w:hAnsi="黑体" w:eastAsia="黑体" w:cs="黑体"/>
              <w:b w:val="0"/>
              <w:bCs w:val="0"/>
              <w:i w:val="0"/>
              <w:iCs w:val="0"/>
              <w:sz w:val="32"/>
              <w:szCs w:val="32"/>
            </w:rPr>
            <w:t>- 8 -</w:t>
          </w:r>
          <w:r>
            <w:rPr>
              <w:rFonts w:hint="eastAsia" w:ascii="黑体" w:hAnsi="黑体" w:eastAsia="黑体" w:cs="黑体"/>
              <w:b w:val="0"/>
              <w:bCs w:val="0"/>
              <w:i w:val="0"/>
              <w:iCs w:val="0"/>
              <w:sz w:val="32"/>
              <w:szCs w:val="32"/>
            </w:rPr>
            <w:fldChar w:fldCharType="end"/>
          </w:r>
          <w:r>
            <w:rPr>
              <w:rFonts w:hint="eastAsia" w:ascii="黑体" w:hAnsi="黑体" w:eastAsia="黑体" w:cs="黑体"/>
              <w:b w:val="0"/>
              <w:bCs w:val="0"/>
              <w:i w:val="0"/>
              <w:iCs w:val="0"/>
              <w:color w:val="auto"/>
              <w:sz w:val="32"/>
              <w:szCs w:val="32"/>
              <w:lang w:val="en-US" w:eastAsia="zh-CN"/>
            </w:rPr>
            <w:fldChar w:fldCharType="end"/>
          </w:r>
        </w:p>
        <w:p w14:paraId="36F35E29">
          <w:pPr>
            <w:pStyle w:val="21"/>
            <w:tabs>
              <w:tab w:val="right" w:leader="dot" w:pos="8306"/>
            </w:tabs>
            <w:rPr>
              <w:rFonts w:hint="eastAsia" w:ascii="黑体" w:hAnsi="黑体" w:eastAsia="黑体" w:cs="黑体"/>
              <w:b w:val="0"/>
              <w:bCs w:val="0"/>
              <w:i w:val="0"/>
              <w:iCs w:val="0"/>
              <w:sz w:val="32"/>
              <w:szCs w:val="32"/>
            </w:rPr>
          </w:pPr>
          <w:r>
            <w:rPr>
              <w:rFonts w:hint="eastAsia" w:ascii="黑体" w:hAnsi="黑体" w:eastAsia="黑体" w:cs="黑体"/>
              <w:b w:val="0"/>
              <w:bCs w:val="0"/>
              <w:i w:val="0"/>
              <w:iCs w:val="0"/>
              <w:color w:val="auto"/>
              <w:sz w:val="32"/>
              <w:szCs w:val="32"/>
              <w:lang w:val="en-US" w:eastAsia="zh-CN"/>
            </w:rPr>
            <w:fldChar w:fldCharType="begin"/>
          </w:r>
          <w:r>
            <w:rPr>
              <w:rFonts w:hint="eastAsia" w:ascii="黑体" w:hAnsi="黑体" w:eastAsia="黑体" w:cs="黑体"/>
              <w:b w:val="0"/>
              <w:bCs w:val="0"/>
              <w:i w:val="0"/>
              <w:iCs w:val="0"/>
              <w:sz w:val="32"/>
              <w:szCs w:val="32"/>
              <w:lang w:val="en-US" w:eastAsia="zh-CN"/>
            </w:rPr>
            <w:instrText xml:space="preserve"> HYPERLINK \l _Toc20971 </w:instrText>
          </w:r>
          <w:r>
            <w:rPr>
              <w:rFonts w:hint="eastAsia" w:ascii="黑体" w:hAnsi="黑体" w:eastAsia="黑体" w:cs="黑体"/>
              <w:b w:val="0"/>
              <w:bCs w:val="0"/>
              <w:i w:val="0"/>
              <w:iCs w:val="0"/>
              <w:sz w:val="32"/>
              <w:szCs w:val="32"/>
              <w:lang w:val="en-US" w:eastAsia="zh-CN"/>
            </w:rPr>
            <w:fldChar w:fldCharType="separate"/>
          </w:r>
          <w:r>
            <w:rPr>
              <w:rFonts w:hint="eastAsia" w:ascii="黑体" w:hAnsi="黑体" w:eastAsia="黑体" w:cs="黑体"/>
              <w:b w:val="0"/>
              <w:bCs w:val="0"/>
              <w:i w:val="0"/>
              <w:iCs w:val="0"/>
              <w:sz w:val="32"/>
              <w:szCs w:val="32"/>
              <w:lang w:val="en-US" w:eastAsia="zh-CN"/>
            </w:rPr>
            <w:t>第三章 评审办法</w:t>
          </w:r>
          <w:r>
            <w:rPr>
              <w:rFonts w:hint="eastAsia" w:ascii="黑体" w:hAnsi="黑体" w:eastAsia="黑体" w:cs="黑体"/>
              <w:b w:val="0"/>
              <w:bCs w:val="0"/>
              <w:i w:val="0"/>
              <w:iCs w:val="0"/>
              <w:sz w:val="32"/>
              <w:szCs w:val="32"/>
            </w:rPr>
            <w:tab/>
          </w:r>
          <w:r>
            <w:rPr>
              <w:rFonts w:hint="eastAsia" w:ascii="黑体" w:hAnsi="黑体" w:eastAsia="黑体" w:cs="黑体"/>
              <w:b w:val="0"/>
              <w:bCs w:val="0"/>
              <w:i w:val="0"/>
              <w:iCs w:val="0"/>
              <w:sz w:val="32"/>
              <w:szCs w:val="32"/>
            </w:rPr>
            <w:fldChar w:fldCharType="begin"/>
          </w:r>
          <w:r>
            <w:rPr>
              <w:rFonts w:hint="eastAsia" w:ascii="黑体" w:hAnsi="黑体" w:eastAsia="黑体" w:cs="黑体"/>
              <w:b w:val="0"/>
              <w:bCs w:val="0"/>
              <w:i w:val="0"/>
              <w:iCs w:val="0"/>
              <w:sz w:val="32"/>
              <w:szCs w:val="32"/>
            </w:rPr>
            <w:instrText xml:space="preserve"> PAGEREF _Toc20971 \h </w:instrText>
          </w:r>
          <w:r>
            <w:rPr>
              <w:rFonts w:hint="eastAsia" w:ascii="黑体" w:hAnsi="黑体" w:eastAsia="黑体" w:cs="黑体"/>
              <w:b w:val="0"/>
              <w:bCs w:val="0"/>
              <w:i w:val="0"/>
              <w:iCs w:val="0"/>
              <w:sz w:val="32"/>
              <w:szCs w:val="32"/>
            </w:rPr>
            <w:fldChar w:fldCharType="separate"/>
          </w:r>
          <w:r>
            <w:rPr>
              <w:rFonts w:hint="eastAsia" w:ascii="黑体" w:hAnsi="黑体" w:eastAsia="黑体" w:cs="黑体"/>
              <w:b w:val="0"/>
              <w:bCs w:val="0"/>
              <w:i w:val="0"/>
              <w:iCs w:val="0"/>
              <w:sz w:val="32"/>
              <w:szCs w:val="32"/>
            </w:rPr>
            <w:t>- 13 -</w:t>
          </w:r>
          <w:r>
            <w:rPr>
              <w:rFonts w:hint="eastAsia" w:ascii="黑体" w:hAnsi="黑体" w:eastAsia="黑体" w:cs="黑体"/>
              <w:b w:val="0"/>
              <w:bCs w:val="0"/>
              <w:i w:val="0"/>
              <w:iCs w:val="0"/>
              <w:sz w:val="32"/>
              <w:szCs w:val="32"/>
            </w:rPr>
            <w:fldChar w:fldCharType="end"/>
          </w:r>
          <w:r>
            <w:rPr>
              <w:rFonts w:hint="eastAsia" w:ascii="黑体" w:hAnsi="黑体" w:eastAsia="黑体" w:cs="黑体"/>
              <w:b w:val="0"/>
              <w:bCs w:val="0"/>
              <w:i w:val="0"/>
              <w:iCs w:val="0"/>
              <w:color w:val="auto"/>
              <w:sz w:val="32"/>
              <w:szCs w:val="32"/>
              <w:lang w:val="en-US" w:eastAsia="zh-CN"/>
            </w:rPr>
            <w:fldChar w:fldCharType="end"/>
          </w:r>
        </w:p>
        <w:p w14:paraId="4A46355E">
          <w:pPr>
            <w:pStyle w:val="21"/>
            <w:tabs>
              <w:tab w:val="right" w:leader="dot" w:pos="8306"/>
            </w:tabs>
            <w:rPr>
              <w:rFonts w:hint="eastAsia" w:ascii="黑体" w:hAnsi="黑体" w:eastAsia="黑体" w:cs="黑体"/>
              <w:b w:val="0"/>
              <w:bCs w:val="0"/>
              <w:i w:val="0"/>
              <w:iCs w:val="0"/>
              <w:sz w:val="32"/>
              <w:szCs w:val="32"/>
            </w:rPr>
          </w:pPr>
          <w:r>
            <w:rPr>
              <w:rFonts w:hint="eastAsia" w:ascii="黑体" w:hAnsi="黑体" w:eastAsia="黑体" w:cs="黑体"/>
              <w:b w:val="0"/>
              <w:bCs w:val="0"/>
              <w:i w:val="0"/>
              <w:iCs w:val="0"/>
              <w:color w:val="auto"/>
              <w:sz w:val="32"/>
              <w:szCs w:val="32"/>
              <w:lang w:val="en-US" w:eastAsia="zh-CN"/>
            </w:rPr>
            <w:fldChar w:fldCharType="begin"/>
          </w:r>
          <w:r>
            <w:rPr>
              <w:rFonts w:hint="eastAsia" w:ascii="黑体" w:hAnsi="黑体" w:eastAsia="黑体" w:cs="黑体"/>
              <w:b w:val="0"/>
              <w:bCs w:val="0"/>
              <w:i w:val="0"/>
              <w:iCs w:val="0"/>
              <w:sz w:val="32"/>
              <w:szCs w:val="32"/>
              <w:lang w:val="en-US" w:eastAsia="zh-CN"/>
            </w:rPr>
            <w:instrText xml:space="preserve"> HYPERLINK \l _Toc3953 </w:instrText>
          </w:r>
          <w:r>
            <w:rPr>
              <w:rFonts w:hint="eastAsia" w:ascii="黑体" w:hAnsi="黑体" w:eastAsia="黑体" w:cs="黑体"/>
              <w:b w:val="0"/>
              <w:bCs w:val="0"/>
              <w:i w:val="0"/>
              <w:iCs w:val="0"/>
              <w:sz w:val="32"/>
              <w:szCs w:val="32"/>
              <w:lang w:val="en-US" w:eastAsia="zh-CN"/>
            </w:rPr>
            <w:fldChar w:fldCharType="separate"/>
          </w:r>
          <w:r>
            <w:rPr>
              <w:rFonts w:hint="eastAsia" w:ascii="黑体" w:hAnsi="黑体" w:eastAsia="黑体" w:cs="黑体"/>
              <w:b w:val="0"/>
              <w:bCs w:val="0"/>
              <w:i w:val="0"/>
              <w:iCs w:val="0"/>
              <w:sz w:val="32"/>
              <w:szCs w:val="32"/>
              <w:lang w:val="en-US" w:eastAsia="zh-CN"/>
            </w:rPr>
            <w:t>第四章 服务合同文本</w:t>
          </w:r>
          <w:r>
            <w:rPr>
              <w:rFonts w:hint="eastAsia" w:ascii="黑体" w:hAnsi="黑体" w:eastAsia="黑体" w:cs="黑体"/>
              <w:b w:val="0"/>
              <w:bCs w:val="0"/>
              <w:i w:val="0"/>
              <w:iCs w:val="0"/>
              <w:sz w:val="32"/>
              <w:szCs w:val="32"/>
            </w:rPr>
            <w:tab/>
          </w:r>
          <w:r>
            <w:rPr>
              <w:rFonts w:hint="eastAsia" w:ascii="黑体" w:hAnsi="黑体" w:eastAsia="黑体" w:cs="黑体"/>
              <w:b w:val="0"/>
              <w:bCs w:val="0"/>
              <w:i w:val="0"/>
              <w:iCs w:val="0"/>
              <w:sz w:val="32"/>
              <w:szCs w:val="32"/>
            </w:rPr>
            <w:fldChar w:fldCharType="begin"/>
          </w:r>
          <w:r>
            <w:rPr>
              <w:rFonts w:hint="eastAsia" w:ascii="黑体" w:hAnsi="黑体" w:eastAsia="黑体" w:cs="黑体"/>
              <w:b w:val="0"/>
              <w:bCs w:val="0"/>
              <w:i w:val="0"/>
              <w:iCs w:val="0"/>
              <w:sz w:val="32"/>
              <w:szCs w:val="32"/>
            </w:rPr>
            <w:instrText xml:space="preserve"> PAGEREF _Toc3953 \h </w:instrText>
          </w:r>
          <w:r>
            <w:rPr>
              <w:rFonts w:hint="eastAsia" w:ascii="黑体" w:hAnsi="黑体" w:eastAsia="黑体" w:cs="黑体"/>
              <w:b w:val="0"/>
              <w:bCs w:val="0"/>
              <w:i w:val="0"/>
              <w:iCs w:val="0"/>
              <w:sz w:val="32"/>
              <w:szCs w:val="32"/>
            </w:rPr>
            <w:fldChar w:fldCharType="separate"/>
          </w:r>
          <w:r>
            <w:rPr>
              <w:rFonts w:hint="eastAsia" w:ascii="黑体" w:hAnsi="黑体" w:eastAsia="黑体" w:cs="黑体"/>
              <w:b w:val="0"/>
              <w:bCs w:val="0"/>
              <w:i w:val="0"/>
              <w:iCs w:val="0"/>
              <w:sz w:val="32"/>
              <w:szCs w:val="32"/>
            </w:rPr>
            <w:t>- 19 -</w:t>
          </w:r>
          <w:r>
            <w:rPr>
              <w:rFonts w:hint="eastAsia" w:ascii="黑体" w:hAnsi="黑体" w:eastAsia="黑体" w:cs="黑体"/>
              <w:b w:val="0"/>
              <w:bCs w:val="0"/>
              <w:i w:val="0"/>
              <w:iCs w:val="0"/>
              <w:sz w:val="32"/>
              <w:szCs w:val="32"/>
            </w:rPr>
            <w:fldChar w:fldCharType="end"/>
          </w:r>
          <w:r>
            <w:rPr>
              <w:rFonts w:hint="eastAsia" w:ascii="黑体" w:hAnsi="黑体" w:eastAsia="黑体" w:cs="黑体"/>
              <w:b w:val="0"/>
              <w:bCs w:val="0"/>
              <w:i w:val="0"/>
              <w:iCs w:val="0"/>
              <w:color w:val="auto"/>
              <w:sz w:val="32"/>
              <w:szCs w:val="32"/>
              <w:lang w:val="en-US" w:eastAsia="zh-CN"/>
            </w:rPr>
            <w:fldChar w:fldCharType="end"/>
          </w:r>
        </w:p>
        <w:p w14:paraId="4DD86D56">
          <w:pPr>
            <w:pStyle w:val="21"/>
            <w:tabs>
              <w:tab w:val="right" w:leader="dot" w:pos="8306"/>
            </w:tabs>
            <w:rPr>
              <w:rFonts w:hint="eastAsia" w:ascii="黑体" w:hAnsi="黑体" w:eastAsia="黑体" w:cs="黑体"/>
              <w:b w:val="0"/>
              <w:bCs w:val="0"/>
              <w:i w:val="0"/>
              <w:iCs w:val="0"/>
              <w:sz w:val="32"/>
              <w:szCs w:val="32"/>
            </w:rPr>
          </w:pPr>
          <w:r>
            <w:rPr>
              <w:rFonts w:hint="eastAsia" w:ascii="黑体" w:hAnsi="黑体" w:eastAsia="黑体" w:cs="黑体"/>
              <w:b w:val="0"/>
              <w:bCs w:val="0"/>
              <w:i w:val="0"/>
              <w:iCs w:val="0"/>
              <w:color w:val="auto"/>
              <w:sz w:val="32"/>
              <w:szCs w:val="32"/>
              <w:lang w:val="en-US" w:eastAsia="zh-CN"/>
            </w:rPr>
            <w:fldChar w:fldCharType="begin"/>
          </w:r>
          <w:r>
            <w:rPr>
              <w:rFonts w:hint="eastAsia" w:ascii="黑体" w:hAnsi="黑体" w:eastAsia="黑体" w:cs="黑体"/>
              <w:b w:val="0"/>
              <w:bCs w:val="0"/>
              <w:i w:val="0"/>
              <w:iCs w:val="0"/>
              <w:sz w:val="32"/>
              <w:szCs w:val="32"/>
              <w:lang w:val="en-US" w:eastAsia="zh-CN"/>
            </w:rPr>
            <w:instrText xml:space="preserve"> HYPERLINK \l _Toc23147 </w:instrText>
          </w:r>
          <w:r>
            <w:rPr>
              <w:rFonts w:hint="eastAsia" w:ascii="黑体" w:hAnsi="黑体" w:eastAsia="黑体" w:cs="黑体"/>
              <w:b w:val="0"/>
              <w:bCs w:val="0"/>
              <w:i w:val="0"/>
              <w:iCs w:val="0"/>
              <w:sz w:val="32"/>
              <w:szCs w:val="32"/>
              <w:lang w:val="en-US" w:eastAsia="zh-CN"/>
            </w:rPr>
            <w:fldChar w:fldCharType="separate"/>
          </w:r>
          <w:r>
            <w:rPr>
              <w:rFonts w:hint="eastAsia" w:ascii="黑体" w:hAnsi="黑体" w:eastAsia="黑体" w:cs="黑体"/>
              <w:b w:val="0"/>
              <w:bCs w:val="0"/>
              <w:i w:val="0"/>
              <w:iCs w:val="0"/>
              <w:sz w:val="32"/>
              <w:szCs w:val="32"/>
              <w:lang w:val="en-US" w:eastAsia="zh-CN"/>
            </w:rPr>
            <w:t>第五章 参选文件格式</w:t>
          </w:r>
          <w:r>
            <w:rPr>
              <w:rFonts w:hint="eastAsia" w:ascii="黑体" w:hAnsi="黑体" w:eastAsia="黑体" w:cs="黑体"/>
              <w:b w:val="0"/>
              <w:bCs w:val="0"/>
              <w:i w:val="0"/>
              <w:iCs w:val="0"/>
              <w:sz w:val="32"/>
              <w:szCs w:val="32"/>
            </w:rPr>
            <w:tab/>
          </w:r>
          <w:r>
            <w:rPr>
              <w:rFonts w:hint="eastAsia" w:ascii="黑体" w:hAnsi="黑体" w:eastAsia="黑体" w:cs="黑体"/>
              <w:b w:val="0"/>
              <w:bCs w:val="0"/>
              <w:i w:val="0"/>
              <w:iCs w:val="0"/>
              <w:sz w:val="32"/>
              <w:szCs w:val="32"/>
            </w:rPr>
            <w:fldChar w:fldCharType="begin"/>
          </w:r>
          <w:r>
            <w:rPr>
              <w:rFonts w:hint="eastAsia" w:ascii="黑体" w:hAnsi="黑体" w:eastAsia="黑体" w:cs="黑体"/>
              <w:b w:val="0"/>
              <w:bCs w:val="0"/>
              <w:i w:val="0"/>
              <w:iCs w:val="0"/>
              <w:sz w:val="32"/>
              <w:szCs w:val="32"/>
            </w:rPr>
            <w:instrText xml:space="preserve"> PAGEREF _Toc23147 \h </w:instrText>
          </w:r>
          <w:r>
            <w:rPr>
              <w:rFonts w:hint="eastAsia" w:ascii="黑体" w:hAnsi="黑体" w:eastAsia="黑体" w:cs="黑体"/>
              <w:b w:val="0"/>
              <w:bCs w:val="0"/>
              <w:i w:val="0"/>
              <w:iCs w:val="0"/>
              <w:sz w:val="32"/>
              <w:szCs w:val="32"/>
            </w:rPr>
            <w:fldChar w:fldCharType="separate"/>
          </w:r>
          <w:r>
            <w:rPr>
              <w:rFonts w:hint="eastAsia" w:ascii="黑体" w:hAnsi="黑体" w:eastAsia="黑体" w:cs="黑体"/>
              <w:b w:val="0"/>
              <w:bCs w:val="0"/>
              <w:i w:val="0"/>
              <w:iCs w:val="0"/>
              <w:sz w:val="32"/>
              <w:szCs w:val="32"/>
            </w:rPr>
            <w:t>- 28 -</w:t>
          </w:r>
          <w:r>
            <w:rPr>
              <w:rFonts w:hint="eastAsia" w:ascii="黑体" w:hAnsi="黑体" w:eastAsia="黑体" w:cs="黑体"/>
              <w:b w:val="0"/>
              <w:bCs w:val="0"/>
              <w:i w:val="0"/>
              <w:iCs w:val="0"/>
              <w:sz w:val="32"/>
              <w:szCs w:val="32"/>
            </w:rPr>
            <w:fldChar w:fldCharType="end"/>
          </w:r>
          <w:r>
            <w:rPr>
              <w:rFonts w:hint="eastAsia" w:ascii="黑体" w:hAnsi="黑体" w:eastAsia="黑体" w:cs="黑体"/>
              <w:b w:val="0"/>
              <w:bCs w:val="0"/>
              <w:i w:val="0"/>
              <w:iCs w:val="0"/>
              <w:color w:val="auto"/>
              <w:sz w:val="32"/>
              <w:szCs w:val="32"/>
              <w:lang w:val="en-US" w:eastAsia="zh-CN"/>
            </w:rPr>
            <w:fldChar w:fldCharType="end"/>
          </w:r>
        </w:p>
        <w:p w14:paraId="2CBDA53A">
          <w:pPr>
            <w:keepNext w:val="0"/>
            <w:keepLines w:val="0"/>
            <w:pageBreakBefore w:val="0"/>
            <w:widowControl w:val="0"/>
            <w:kinsoku/>
            <w:wordWrap w:val="0"/>
            <w:overflowPunct w:val="0"/>
            <w:topLinePunct w:val="0"/>
            <w:autoSpaceDE/>
            <w:autoSpaceDN/>
            <w:bidi w:val="0"/>
            <w:adjustRightInd/>
            <w:snapToGrid/>
            <w:spacing w:before="313" w:beforeLines="100" w:after="313" w:afterLines="100" w:line="480" w:lineRule="auto"/>
            <w:jc w:val="both"/>
            <w:textAlignment w:val="auto"/>
            <w:rPr>
              <w:rFonts w:hint="eastAsia" w:ascii="黑体" w:hAnsi="黑体" w:eastAsia="黑体" w:cs="黑体"/>
              <w:b w:val="0"/>
              <w:bCs w:val="0"/>
              <w:i w:val="0"/>
              <w:iCs w:val="0"/>
              <w:color w:val="auto"/>
              <w:sz w:val="32"/>
              <w:szCs w:val="32"/>
              <w:lang w:val="en-US" w:eastAsia="zh-CN"/>
            </w:rPr>
          </w:pPr>
          <w:r>
            <w:rPr>
              <w:rFonts w:hint="eastAsia" w:ascii="黑体" w:hAnsi="黑体" w:eastAsia="黑体" w:cs="黑体"/>
              <w:b w:val="0"/>
              <w:bCs w:val="0"/>
              <w:i w:val="0"/>
              <w:iCs w:val="0"/>
              <w:color w:val="auto"/>
              <w:sz w:val="32"/>
              <w:szCs w:val="32"/>
              <w:lang w:val="en-US" w:eastAsia="zh-CN"/>
            </w:rPr>
            <w:fldChar w:fldCharType="end"/>
          </w:r>
        </w:p>
      </w:sdtContent>
    </w:sdt>
    <w:p w14:paraId="38390767">
      <w:pPr>
        <w:keepNext w:val="0"/>
        <w:keepLines w:val="0"/>
        <w:pageBreakBefore w:val="0"/>
        <w:widowControl w:val="0"/>
        <w:kinsoku/>
        <w:wordWrap w:val="0"/>
        <w:overflowPunct w:val="0"/>
        <w:topLinePunct w:val="0"/>
        <w:autoSpaceDE/>
        <w:autoSpaceDN/>
        <w:bidi w:val="0"/>
        <w:adjustRightInd/>
        <w:snapToGrid/>
        <w:spacing w:before="313" w:beforeLines="100" w:after="313" w:afterLines="100" w:line="480" w:lineRule="auto"/>
        <w:jc w:val="both"/>
        <w:textAlignment w:val="auto"/>
        <w:rPr>
          <w:rFonts w:hint="eastAsia" w:ascii="黑体" w:hAnsi="黑体" w:eastAsia="黑体" w:cs="黑体"/>
          <w:b w:val="0"/>
          <w:bCs w:val="0"/>
          <w:i w:val="0"/>
          <w:iCs w:val="0"/>
          <w:color w:val="auto"/>
          <w:sz w:val="32"/>
          <w:szCs w:val="32"/>
          <w:lang w:val="en-US" w:eastAsia="zh-CN"/>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14:paraId="095D0EDB">
      <w:pPr>
        <w:pStyle w:val="2"/>
        <w:keepNext/>
        <w:keepLines/>
        <w:pageBreakBefore w:val="0"/>
        <w:widowControl w:val="0"/>
        <w:kinsoku/>
        <w:wordWrap w:val="0"/>
        <w:overflowPunct w:val="0"/>
        <w:topLinePunct w:val="0"/>
        <w:autoSpaceDE/>
        <w:autoSpaceDN/>
        <w:bidi w:val="0"/>
        <w:adjustRightInd/>
        <w:snapToGrid/>
        <w:spacing w:before="0" w:after="0" w:line="560" w:lineRule="exact"/>
        <w:jc w:val="center"/>
        <w:textAlignment w:val="auto"/>
        <w:rPr>
          <w:rFonts w:hint="eastAsia" w:ascii="黑体" w:hAnsi="黑体" w:eastAsia="黑体" w:cs="黑体"/>
          <w:b w:val="0"/>
          <w:bCs w:val="0"/>
          <w:color w:val="auto"/>
          <w:lang w:val="en-US" w:eastAsia="zh-CN"/>
        </w:rPr>
      </w:pPr>
      <w:bookmarkStart w:id="10" w:name="_Toc29966"/>
      <w:r>
        <w:rPr>
          <w:rFonts w:hint="eastAsia" w:ascii="黑体" w:hAnsi="黑体" w:eastAsia="黑体" w:cs="黑体"/>
          <w:b w:val="0"/>
          <w:bCs w:val="0"/>
          <w:color w:val="auto"/>
          <w:lang w:val="en-US" w:eastAsia="zh-CN"/>
        </w:rPr>
        <w:t>第一章 采购公告</w:t>
      </w:r>
      <w:bookmarkEnd w:id="10"/>
    </w:p>
    <w:p w14:paraId="47106A32">
      <w:pPr>
        <w:keepNext w:val="0"/>
        <w:keepLines w:val="0"/>
        <w:pageBreakBefore w:val="0"/>
        <w:widowControl w:val="0"/>
        <w:kinsoku/>
        <w:wordWrap w:val="0"/>
        <w:overflowPunct w:val="0"/>
        <w:topLinePunct w:val="0"/>
        <w:autoSpaceDE/>
        <w:autoSpaceDN/>
        <w:bidi w:val="0"/>
        <w:adjustRightInd/>
        <w:snapToGrid/>
        <w:spacing w:line="560" w:lineRule="exact"/>
        <w:ind w:firstLine="0" w:firstLineChars="0"/>
        <w:jc w:val="both"/>
        <w:textAlignment w:val="auto"/>
        <w:rPr>
          <w:rFonts w:hint="default" w:ascii="仿宋_GB2312" w:hAnsi="仿宋_GB2312" w:eastAsia="仿宋_GB2312" w:cs="仿宋_GB2312"/>
          <w:color w:val="auto"/>
          <w:sz w:val="32"/>
          <w:szCs w:val="32"/>
          <w:lang w:val="en-US" w:eastAsia="zh-CN"/>
        </w:rPr>
      </w:pPr>
    </w:p>
    <w:p w14:paraId="752A1398">
      <w:pPr>
        <w:keepNext w:val="0"/>
        <w:keepLines w:val="0"/>
        <w:pageBreakBefore w:val="0"/>
        <w:widowControl w:val="0"/>
        <w:kinsoku/>
        <w:wordWrap w:val="0"/>
        <w:overflowPunct w:val="0"/>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海南联合资产管理有限公司</w:t>
      </w:r>
    </w:p>
    <w:p w14:paraId="36C3F703">
      <w:pPr>
        <w:keepNext w:val="0"/>
        <w:keepLines w:val="0"/>
        <w:pageBreakBefore w:val="0"/>
        <w:widowControl w:val="0"/>
        <w:kinsoku/>
        <w:wordWrap w:val="0"/>
        <w:overflowPunct w:val="0"/>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sz w:val="44"/>
          <w:szCs w:val="44"/>
        </w:rPr>
        <w:t>公开比选常年法律顾问公告</w:t>
      </w:r>
    </w:p>
    <w:p w14:paraId="6B64F864">
      <w:pPr>
        <w:keepNext w:val="0"/>
        <w:keepLines w:val="0"/>
        <w:pageBreakBefore w:val="0"/>
        <w:widowControl/>
        <w:kinsoku/>
        <w:wordWrap/>
        <w:overflowPunct w:val="0"/>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14:paraId="4F447211">
      <w:pPr>
        <w:keepNext w:val="0"/>
        <w:keepLines w:val="0"/>
        <w:pageBreakBefore w:val="0"/>
        <w:widowControl/>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为贯彻落实中共中央办公厅 国务院办公厅《关于推行法律顾问制度和公职律师公司律师制度的意见》（中办发〔2016〕30号）要求，根据《海南省国有资产监督管理委员会 关于进一步完善省属企业外聘法律顾问工作机制的指导意见》（琼国资法〔2019〕6号）文件精神，加强省属企业依法治企和法治国企建设，进一步完善外聘法律顾问工作机制，结合《海南联合资产管理有限公司外聘律师事务所管理办法》规定，海南联合资产管理有限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以下简称公司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拟采取公开比选方式选聘1家常年法律顾问单位（律师事务所），为公司提供常年法律服务。</w:t>
      </w:r>
    </w:p>
    <w:p w14:paraId="138A4E4D">
      <w:pPr>
        <w:keepNext w:val="0"/>
        <w:keepLines w:val="0"/>
        <w:pageBreakBefore w:val="0"/>
        <w:widowControl/>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诚挚邀请</w:t>
      </w:r>
      <w:r>
        <w:rPr>
          <w:rFonts w:hint="eastAsia" w:ascii="仿宋_GB2312" w:hAnsi="仿宋_GB2312" w:eastAsia="仿宋_GB2312" w:cs="仿宋_GB2312"/>
          <w:color w:val="auto"/>
          <w:sz w:val="32"/>
          <w:szCs w:val="32"/>
        </w:rPr>
        <w:t>符合资格条件的</w:t>
      </w:r>
      <w:r>
        <w:rPr>
          <w:rFonts w:hint="eastAsia" w:ascii="仿宋_GB2312" w:hAnsi="仿宋_GB2312" w:eastAsia="仿宋_GB2312" w:cs="仿宋_GB2312"/>
          <w:color w:val="auto"/>
          <w:sz w:val="32"/>
          <w:szCs w:val="32"/>
          <w:lang w:val="en-US" w:eastAsia="zh-CN"/>
        </w:rPr>
        <w:t>潜在参选人</w:t>
      </w:r>
      <w:r>
        <w:rPr>
          <w:rFonts w:hint="eastAsia" w:ascii="仿宋_GB2312" w:hAnsi="仿宋_GB2312" w:eastAsia="仿宋_GB2312" w:cs="仿宋_GB2312"/>
          <w:color w:val="auto"/>
          <w:sz w:val="32"/>
          <w:szCs w:val="32"/>
        </w:rPr>
        <w:t>参</w:t>
      </w:r>
      <w:r>
        <w:rPr>
          <w:rFonts w:hint="eastAsia" w:ascii="仿宋_GB2312" w:hAnsi="仿宋_GB2312" w:eastAsia="仿宋_GB2312" w:cs="仿宋_GB2312"/>
          <w:color w:val="auto"/>
          <w:sz w:val="32"/>
          <w:szCs w:val="32"/>
          <w:lang w:val="en-US" w:eastAsia="zh-CN"/>
        </w:rPr>
        <w:t>加比选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现</w:t>
      </w:r>
      <w:r>
        <w:rPr>
          <w:rFonts w:hint="eastAsia" w:ascii="仿宋_GB2312" w:hAnsi="仿宋_GB2312" w:eastAsia="仿宋_GB2312" w:cs="仿宋_GB2312"/>
          <w:color w:val="auto"/>
          <w:sz w:val="32"/>
          <w:szCs w:val="32"/>
        </w:rPr>
        <w:t>将有关事项公告如下</w:t>
      </w:r>
      <w:r>
        <w:rPr>
          <w:rFonts w:hint="eastAsia" w:ascii="仿宋_GB2312" w:hAnsi="仿宋_GB2312" w:eastAsia="仿宋_GB2312" w:cs="仿宋_GB2312"/>
          <w:color w:val="auto"/>
          <w:sz w:val="32"/>
          <w:szCs w:val="32"/>
          <w:lang w:eastAsia="zh-CN"/>
        </w:rPr>
        <w:t>：</w:t>
      </w:r>
    </w:p>
    <w:p w14:paraId="6DB3CF89">
      <w:pPr>
        <w:keepNext w:val="0"/>
        <w:keepLines w:val="0"/>
        <w:pageBreakBefore w:val="0"/>
        <w:widowControl/>
        <w:kinsoku/>
        <w:wordWrap/>
        <w:overflowPunct w:val="0"/>
        <w:topLinePunct w:val="0"/>
        <w:autoSpaceDE/>
        <w:autoSpaceDN/>
        <w:bidi w:val="0"/>
        <w:adjustRightInd/>
        <w:snapToGrid/>
        <w:spacing w:line="52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一、项目</w:t>
      </w:r>
      <w:r>
        <w:rPr>
          <w:rFonts w:hint="eastAsia" w:ascii="黑体" w:hAnsi="黑体" w:eastAsia="黑体" w:cs="黑体"/>
          <w:color w:val="auto"/>
          <w:sz w:val="32"/>
          <w:szCs w:val="32"/>
          <w:lang w:val="en-US" w:eastAsia="zh-CN"/>
        </w:rPr>
        <w:t>概况</w:t>
      </w:r>
    </w:p>
    <w:p w14:paraId="55F538EE">
      <w:pPr>
        <w:keepNext w:val="0"/>
        <w:keepLines w:val="0"/>
        <w:pageBreakBefore w:val="0"/>
        <w:widowControl/>
        <w:numPr>
          <w:ilvl w:val="0"/>
          <w:numId w:val="1"/>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项目名称：海南联合资产管理有限公司公开比选常年法律顾问。</w:t>
      </w:r>
    </w:p>
    <w:p w14:paraId="015BD279">
      <w:pPr>
        <w:keepNext w:val="0"/>
        <w:keepLines w:val="0"/>
        <w:pageBreakBefore w:val="0"/>
        <w:widowControl/>
        <w:numPr>
          <w:ilvl w:val="0"/>
          <w:numId w:val="1"/>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服务期限：根据服务合同约定（每年一签，不超过两年）。</w:t>
      </w:r>
    </w:p>
    <w:p w14:paraId="610BF9FE">
      <w:pPr>
        <w:keepNext w:val="0"/>
        <w:keepLines w:val="0"/>
        <w:pageBreakBefore w:val="0"/>
        <w:widowControl/>
        <w:numPr>
          <w:ilvl w:val="0"/>
          <w:numId w:val="1"/>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服务费用：本项目采购控制价不超过10万元/年（含税费、差旅费等一切费用）。</w:t>
      </w:r>
    </w:p>
    <w:p w14:paraId="7B67D907">
      <w:pPr>
        <w:keepNext w:val="0"/>
        <w:keepLines w:val="0"/>
        <w:pageBreakBefore w:val="0"/>
        <w:widowControl/>
        <w:numPr>
          <w:ilvl w:val="0"/>
          <w:numId w:val="1"/>
        </w:numPr>
        <w:kinsoku/>
        <w:wordWrap/>
        <w:overflowPunct w:val="0"/>
        <w:topLinePunct w:val="0"/>
        <w:autoSpaceDE/>
        <w:autoSpaceDN/>
        <w:bidi w:val="0"/>
        <w:adjustRightInd/>
        <w:snapToGrid/>
        <w:spacing w:line="52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付款方式：分期支付（第一期：服务合同签订后次日起，收到律师事务所开具的增值税发票5个工作日内支付50%；第二期：服务合同履行6个月后次日起，收到律师事务所开具的增值税发票5个工作日内支付50%）。</w:t>
      </w:r>
    </w:p>
    <w:p w14:paraId="4DF0E4FD">
      <w:pPr>
        <w:keepNext w:val="0"/>
        <w:keepLines w:val="0"/>
        <w:pageBreakBefore w:val="0"/>
        <w:widowControl/>
        <w:numPr>
          <w:ilvl w:val="0"/>
          <w:numId w:val="1"/>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选聘数量：1家律师事务所（本项目不接受联合体投标）。</w:t>
      </w:r>
    </w:p>
    <w:p w14:paraId="31263F25">
      <w:pPr>
        <w:keepNext w:val="0"/>
        <w:keepLines w:val="0"/>
        <w:pageBreakBefore w:val="0"/>
        <w:widowControl/>
        <w:numPr>
          <w:ilvl w:val="0"/>
          <w:numId w:val="1"/>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比选要求：本项目采用公开比选方式进行采购，分为资格审查、综合评审两部分。</w:t>
      </w:r>
    </w:p>
    <w:p w14:paraId="7B9EABAD">
      <w:pPr>
        <w:keepNext w:val="0"/>
        <w:keepLines w:val="0"/>
        <w:pageBreakBefore w:val="0"/>
        <w:widowControl/>
        <w:kinsoku/>
        <w:wordWrap/>
        <w:overflowPunct w:val="0"/>
        <w:topLinePunct w:val="0"/>
        <w:autoSpaceDE/>
        <w:autoSpaceDN/>
        <w:bidi w:val="0"/>
        <w:adjustRightInd/>
        <w:snapToGrid/>
        <w:spacing w:line="52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lang w:val="en-US" w:eastAsia="zh-CN"/>
        </w:rPr>
        <w:t>常年法律服务内容</w:t>
      </w:r>
    </w:p>
    <w:p w14:paraId="2A178DD9">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lang w:val="en-US" w:eastAsia="zh-CN"/>
        </w:rPr>
        <w:t>为公司日常事务提供法律咨询，解答法律问题，并应公司要求出具相应的法律意见书及律师函等；</w:t>
      </w:r>
    </w:p>
    <w:p w14:paraId="5C29FADE">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2.起草、审查公司经营活动涉及的相关协议、合同、法律文书；</w:t>
      </w:r>
    </w:p>
    <w:p w14:paraId="6F07EAAD">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3.为公司重大经营决策事项提供法律意见，出具法律意见书；</w:t>
      </w:r>
    </w:p>
    <w:p w14:paraId="4F8CEEE9">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4.为公司报送省国资委审核、批准或备案，需要外聘法律顾问出具法律意见书的事项出具法律意见书；</w:t>
      </w:r>
    </w:p>
    <w:p w14:paraId="7589DF31">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5.为公司制定修改公司章程、内部规章制度等提供法律意见，出具法律意见书；</w:t>
      </w:r>
    </w:p>
    <w:p w14:paraId="739490AC">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6.协助公司健全经营管理规章制度；</w:t>
      </w:r>
    </w:p>
    <w:p w14:paraId="3F9677BE">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7.全面梳理、审核公司常用合同，建立健全合同模板库；</w:t>
      </w:r>
    </w:p>
    <w:p w14:paraId="021C393E">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8.参与磋商、业务谈判，法律纠纷的谈判、协商、调解及风险事件的处置等；</w:t>
      </w:r>
    </w:p>
    <w:p w14:paraId="5EA14482">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9.就公司重大事项或重大案件进行研讨分析，从法律角度提出参考意见等；</w:t>
      </w:r>
    </w:p>
    <w:p w14:paraId="4F9F9AC4">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10.根据需要列席公司股东会、董事会、总办会等会议；</w:t>
      </w:r>
    </w:p>
    <w:p w14:paraId="5CCCB0B8">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11.协助公司开展法治宣传教育、培训；</w:t>
      </w:r>
    </w:p>
    <w:p w14:paraId="4E92641F">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12.需要参与的其他涉法事务。</w:t>
      </w:r>
    </w:p>
    <w:p w14:paraId="0ADBAD34">
      <w:pPr>
        <w:keepNext w:val="0"/>
        <w:keepLines w:val="0"/>
        <w:pageBreakBefore w:val="0"/>
        <w:widowControl/>
        <w:kinsoku/>
        <w:wordWrap/>
        <w:overflowPunct w:val="0"/>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lang w:val="en-US" w:eastAsia="zh-CN"/>
        </w:rPr>
        <w:t>资格审查条件</w:t>
      </w:r>
    </w:p>
    <w:p w14:paraId="02B90F94">
      <w:pPr>
        <w:keepNext w:val="0"/>
        <w:keepLines w:val="0"/>
        <w:pageBreakBefore w:val="0"/>
        <w:widowControl/>
        <w:numPr>
          <w:ilvl w:val="0"/>
          <w:numId w:val="2"/>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选人须是在中华人民共和国境内注册、具有独立承担民事责任能力的律师事务所，须未被列入信用中国网站(www.creditchina.gov.cn)的“失信被执行人”“重大税收违法失信主体”“政府采购严重违法失信名单”和中国政府采购网(www.ccgp.gov.cn)的“政府采购严重违法失信行为记录名单”。[提供信用中国网站（www.creditchina.gov.cn）和中国政府采购网（www.ccgp.gov.cn）查询结果截图，并加盖公章]</w:t>
      </w:r>
    </w:p>
    <w:p w14:paraId="445A9A17">
      <w:pPr>
        <w:keepNext w:val="0"/>
        <w:keepLines w:val="0"/>
        <w:pageBreakBefore w:val="0"/>
        <w:widowControl/>
        <w:numPr>
          <w:ilvl w:val="0"/>
          <w:numId w:val="2"/>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参选人具有依法缴纳税收和社会保障资金的良好记录。[提供参选时最近3个月的单位缴纳税收、拟指派执业律师的社保记录凭证（单位职工参保花名册），并加盖公章]</w:t>
      </w:r>
    </w:p>
    <w:p w14:paraId="24F8BB2D">
      <w:pPr>
        <w:keepNext w:val="0"/>
        <w:keepLines w:val="0"/>
        <w:pageBreakBefore w:val="0"/>
        <w:widowControl/>
        <w:numPr>
          <w:ilvl w:val="0"/>
          <w:numId w:val="2"/>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参选人（包含拟指派执业律师）参选前三年内，在经营活动中没有重大违纪、违法记录。（提供声明函，格式自拟，并加盖公章）</w:t>
      </w:r>
    </w:p>
    <w:p w14:paraId="41DE06D2">
      <w:pPr>
        <w:keepNext w:val="0"/>
        <w:keepLines w:val="0"/>
        <w:pageBreakBefore w:val="0"/>
        <w:widowControl/>
        <w:numPr>
          <w:ilvl w:val="0"/>
          <w:numId w:val="2"/>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选人（包含拟指派执业律师）参选前三年内未因自身的任何违约、违法及违反职业道德的行为而导致服务合同解除或败诉，没有被投诉，未受过司法行政部门的行政处罚或律师协会的行业处分记录。（提供声明函，格式自拟，并加盖公章）</w:t>
      </w:r>
    </w:p>
    <w:p w14:paraId="20D02CD3">
      <w:pPr>
        <w:keepNext w:val="0"/>
        <w:keepLines w:val="0"/>
        <w:pageBreakBefore w:val="0"/>
        <w:widowControl/>
        <w:numPr>
          <w:ilvl w:val="0"/>
          <w:numId w:val="2"/>
        </w:numPr>
        <w:kinsoku/>
        <w:wordWrap/>
        <w:overflowPunct w:val="0"/>
        <w:topLinePunct w:val="0"/>
        <w:autoSpaceDE/>
        <w:autoSpaceDN/>
        <w:bidi w:val="0"/>
        <w:adjustRightInd/>
        <w:snapToGrid/>
        <w:spacing w:line="52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参选人具有良好的社会关系、资信实力、管理水平、商业信誉和健全的财务会计制度。（提供声明函，格式自拟，并加盖公章）</w:t>
      </w:r>
    </w:p>
    <w:p w14:paraId="68E899F7">
      <w:pPr>
        <w:keepNext w:val="0"/>
        <w:keepLines w:val="0"/>
        <w:pageBreakBefore w:val="0"/>
        <w:widowControl/>
        <w:numPr>
          <w:ilvl w:val="0"/>
          <w:numId w:val="2"/>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参选人不存在与公司存在利益冲突的情形（含诉讼、非诉讼、仲裁、投资并购等存在利益冲突的事项）。（提供声明函，格式自拟，并加盖公章）</w:t>
      </w:r>
    </w:p>
    <w:p w14:paraId="090445C7">
      <w:pPr>
        <w:keepNext w:val="0"/>
        <w:keepLines w:val="0"/>
        <w:pageBreakBefore w:val="0"/>
        <w:widowControl/>
        <w:numPr>
          <w:ilvl w:val="0"/>
          <w:numId w:val="2"/>
        </w:numPr>
        <w:kinsoku/>
        <w:wordWrap/>
        <w:overflowPunct w:val="0"/>
        <w:topLinePunct w:val="0"/>
        <w:autoSpaceDE/>
        <w:autoSpaceDN/>
        <w:bidi w:val="0"/>
        <w:adjustRightInd/>
        <w:snapToGrid/>
        <w:spacing w:line="52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参选人承诺提供法律服务过程中具备相应数量的服务团队人员：主办律师至少一名，协办律师至少两名。</w:t>
      </w:r>
    </w:p>
    <w:p w14:paraId="2DF3CCA1">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主办律师执业年限十年以上，具有丰富的执业经验、在相关专业领域具有较强的专业能力素养，已</w:t>
      </w:r>
      <w:r>
        <w:rPr>
          <w:rFonts w:hint="eastAsia" w:ascii="仿宋_GB2312" w:hAnsi="仿宋_GB2312" w:eastAsia="仿宋_GB2312" w:cs="仿宋_GB2312"/>
          <w:color w:val="auto"/>
          <w:sz w:val="32"/>
          <w:szCs w:val="32"/>
          <w:lang w:val="en-US" w:eastAsia="zh-CN"/>
        </w:rPr>
        <w:t>投保</w:t>
      </w:r>
      <w:r>
        <w:rPr>
          <w:rFonts w:hint="default" w:ascii="仿宋_GB2312" w:hAnsi="仿宋_GB2312" w:eastAsia="仿宋_GB2312" w:cs="仿宋_GB2312"/>
          <w:color w:val="auto"/>
          <w:sz w:val="32"/>
          <w:szCs w:val="32"/>
          <w:lang w:val="en-US" w:eastAsia="zh-CN"/>
        </w:rPr>
        <w:t>执业责任保险</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协办律师执业年限五年以上，具有丰富的执业经验、在相关专业领域具有较强的专业能力素养，已</w:t>
      </w:r>
      <w:r>
        <w:rPr>
          <w:rFonts w:hint="eastAsia" w:ascii="仿宋_GB2312" w:hAnsi="仿宋_GB2312" w:eastAsia="仿宋_GB2312" w:cs="仿宋_GB2312"/>
          <w:color w:val="auto"/>
          <w:sz w:val="32"/>
          <w:szCs w:val="32"/>
          <w:lang w:val="en-US" w:eastAsia="zh-CN"/>
        </w:rPr>
        <w:t>投保</w:t>
      </w:r>
      <w:r>
        <w:rPr>
          <w:rFonts w:hint="default" w:ascii="仿宋_GB2312" w:hAnsi="仿宋_GB2312" w:eastAsia="仿宋_GB2312" w:cs="仿宋_GB2312"/>
          <w:color w:val="auto"/>
          <w:sz w:val="32"/>
          <w:szCs w:val="32"/>
          <w:lang w:val="en-US" w:eastAsia="zh-CN"/>
        </w:rPr>
        <w:t>执业责任保险。</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bidi="ar-SA"/>
        </w:rPr>
        <w:t>提供</w:t>
      </w:r>
      <w:r>
        <w:rPr>
          <w:rFonts w:hint="eastAsia" w:ascii="仿宋_GB2312" w:hAnsi="仿宋_GB2312" w:eastAsia="仿宋_GB2312" w:cs="仿宋_GB2312"/>
          <w:color w:val="auto"/>
          <w:sz w:val="32"/>
          <w:szCs w:val="32"/>
          <w:lang w:val="en-US" w:eastAsia="zh-CN" w:bidi="ar-SA"/>
        </w:rPr>
        <w:t>服务团队人员名单、执业证书、投保</w:t>
      </w:r>
      <w:r>
        <w:rPr>
          <w:rFonts w:hint="eastAsia" w:ascii="仿宋_GB2312" w:hAnsi="仿宋_GB2312" w:eastAsia="仿宋_GB2312" w:cs="仿宋_GB2312"/>
          <w:color w:val="auto"/>
          <w:sz w:val="32"/>
          <w:szCs w:val="32"/>
          <w:lang w:eastAsia="zh-CN" w:bidi="ar-SA"/>
        </w:rPr>
        <w:t>执业责任保险</w:t>
      </w:r>
      <w:r>
        <w:rPr>
          <w:rFonts w:hint="eastAsia" w:ascii="仿宋_GB2312" w:hAnsi="仿宋_GB2312" w:eastAsia="仿宋_GB2312" w:cs="仿宋_GB2312"/>
          <w:color w:val="auto"/>
          <w:sz w:val="32"/>
          <w:szCs w:val="32"/>
          <w:lang w:val="en-US" w:eastAsia="zh-CN" w:bidi="ar-SA"/>
        </w:rPr>
        <w:t>记录</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val="en-US" w:eastAsia="zh-CN" w:bidi="ar-SA"/>
        </w:rPr>
        <w:t>全国律师执业诚信信息公示平台（https://credit.acla.org.cn/）查询结果截图</w:t>
      </w:r>
      <w:r>
        <w:rPr>
          <w:rFonts w:hint="eastAsia" w:ascii="仿宋_GB2312" w:hAnsi="仿宋_GB2312" w:eastAsia="仿宋_GB2312" w:cs="仿宋_GB2312"/>
          <w:color w:val="auto"/>
          <w:sz w:val="32"/>
          <w:szCs w:val="32"/>
          <w:lang w:eastAsia="zh-CN" w:bidi="ar-SA"/>
        </w:rPr>
        <w:t>，并加盖公章</w:t>
      </w:r>
      <w:r>
        <w:rPr>
          <w:rFonts w:hint="eastAsia" w:ascii="仿宋_GB2312" w:hAnsi="仿宋_GB2312" w:eastAsia="仿宋_GB2312" w:cs="仿宋_GB2312"/>
          <w:color w:val="auto"/>
          <w:sz w:val="32"/>
          <w:szCs w:val="32"/>
          <w:lang w:val="en-US" w:eastAsia="zh-CN"/>
        </w:rPr>
        <w:t>]</w:t>
      </w:r>
    </w:p>
    <w:p w14:paraId="043F71BF">
      <w:pPr>
        <w:keepNext w:val="0"/>
        <w:keepLines w:val="0"/>
        <w:pageBreakBefore w:val="0"/>
        <w:widowControl/>
        <w:kinsoku/>
        <w:wordWrap/>
        <w:overflowPunct w:val="0"/>
        <w:topLinePunct w:val="0"/>
        <w:autoSpaceDE/>
        <w:autoSpaceDN/>
        <w:bidi w:val="0"/>
        <w:adjustRightInd/>
        <w:snapToGrid/>
        <w:spacing w:line="52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lang w:val="en-US" w:eastAsia="zh-CN"/>
        </w:rPr>
        <w:t>比选评审要求</w:t>
      </w:r>
    </w:p>
    <w:p w14:paraId="3DF81B62">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（一）资格审查</w:t>
      </w:r>
    </w:p>
    <w:p w14:paraId="28D97144">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本项目评审小组根据比选文件要求，对参选人的资格条件进行审查，只有通过资格审查才能进入综合评审。</w:t>
      </w:r>
    </w:p>
    <w:p w14:paraId="470E46FE">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（二）综合评审</w:t>
      </w:r>
    </w:p>
    <w:p w14:paraId="7C41D49A">
      <w:pPr>
        <w:pStyle w:val="20"/>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1.本项目评审采用综合评分法，评审小组根据比选文件量化因素、分值要求，对参选文件的内容进行综合评价打分并计算出综合得分。</w:t>
      </w:r>
    </w:p>
    <w:p w14:paraId="2F5B8870">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本项目评审小组根据综合得分，由高到低的顺序推荐前三名候选人，原则上推荐排名第一的候选人为中选人；综合评分相同的，以“服务报价”最低者排名优先；服务报价也相同的，由评审小组现场抽签确定排名。</w:t>
      </w:r>
    </w:p>
    <w:p w14:paraId="7BDADEFE">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若排名第一的候选人放弃中选、因不可抗力或重大利益冲突不能履行服务合同，或者被查实存在影响中选结果的违规行为等情形，不符合中选条件的，公司可以按照评审小组推荐的中标候选人名单排序依次确定其他候选人为中选人，也可以重新开展采购。</w:t>
      </w:r>
    </w:p>
    <w:p w14:paraId="2251E070">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3" w:firstLineChars="200"/>
        <w:jc w:val="both"/>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（三）参选文件要求</w:t>
      </w:r>
    </w:p>
    <w:p w14:paraId="4105E70D">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1.参选人应当严格按照</w:t>
      </w:r>
      <w:r>
        <w:rPr>
          <w:rFonts w:hint="eastAsia" w:ascii="仿宋_GB2312" w:hAnsi="仿宋_GB2312" w:eastAsia="仿宋_GB2312" w:cs="仿宋_GB2312"/>
          <w:color w:val="auto"/>
          <w:sz w:val="32"/>
          <w:szCs w:val="32"/>
          <w:lang w:eastAsia="zh-CN"/>
        </w:rPr>
        <w:t>本项目</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eastAsia="zh-CN"/>
        </w:rPr>
        <w:t>文件要求</w:t>
      </w:r>
      <w:r>
        <w:rPr>
          <w:rFonts w:hint="eastAsia" w:ascii="仿宋_GB2312" w:hAnsi="仿宋_GB2312" w:eastAsia="仿宋_GB2312" w:cs="仿宋_GB2312"/>
          <w:color w:val="auto"/>
          <w:sz w:val="32"/>
          <w:szCs w:val="32"/>
          <w:lang w:val="en-US" w:eastAsia="zh-CN"/>
        </w:rPr>
        <w:t>同时</w:t>
      </w:r>
      <w:r>
        <w:rPr>
          <w:rFonts w:hint="eastAsia" w:ascii="仿宋_GB2312" w:hAnsi="仿宋_GB2312" w:eastAsia="仿宋_GB2312" w:cs="仿宋_GB2312"/>
          <w:color w:val="auto"/>
          <w:sz w:val="32"/>
          <w:szCs w:val="32"/>
          <w:lang w:eastAsia="zh-CN"/>
        </w:rPr>
        <w:t>提交电子版和纸质版</w:t>
      </w:r>
      <w:r>
        <w:rPr>
          <w:rFonts w:hint="eastAsia" w:ascii="仿宋_GB2312" w:hAnsi="仿宋_GB2312" w:eastAsia="仿宋_GB2312" w:cs="仿宋_GB2312"/>
          <w:color w:val="auto"/>
          <w:sz w:val="32"/>
          <w:szCs w:val="32"/>
          <w:lang w:val="en-US" w:eastAsia="zh-CN"/>
        </w:rPr>
        <w:t>的参选文件</w:t>
      </w:r>
      <w:r>
        <w:rPr>
          <w:rFonts w:hint="eastAsia" w:ascii="仿宋_GB2312" w:hAnsi="仿宋_GB2312" w:eastAsia="仿宋_GB2312" w:cs="仿宋_GB2312"/>
          <w:color w:val="auto"/>
          <w:sz w:val="32"/>
          <w:szCs w:val="32"/>
          <w:lang w:eastAsia="zh-CN"/>
        </w:rPr>
        <w:t>（具体详见附件</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纸质</w:t>
      </w:r>
      <w:r>
        <w:rPr>
          <w:rFonts w:hint="eastAsia" w:ascii="仿宋_GB2312" w:hAnsi="仿宋_GB2312" w:eastAsia="仿宋_GB2312" w:cs="仿宋_GB2312"/>
          <w:color w:val="auto"/>
          <w:sz w:val="32"/>
          <w:szCs w:val="32"/>
          <w:lang w:eastAsia="zh-CN"/>
        </w:rPr>
        <w:t>版材料扫描</w:t>
      </w:r>
      <w:r>
        <w:rPr>
          <w:rFonts w:hint="eastAsia" w:ascii="仿宋_GB2312" w:hAnsi="仿宋_GB2312" w:eastAsia="仿宋_GB2312" w:cs="仿宋_GB2312"/>
          <w:color w:val="auto"/>
          <w:sz w:val="32"/>
          <w:szCs w:val="32"/>
          <w:lang w:val="en-US" w:eastAsia="zh-CN"/>
        </w:rPr>
        <w:t>成电子版</w:t>
      </w:r>
      <w:r>
        <w:rPr>
          <w:rFonts w:hint="eastAsia" w:ascii="仿宋_GB2312" w:hAnsi="仿宋_GB2312" w:eastAsia="仿宋_GB2312" w:cs="仿宋_GB2312"/>
          <w:color w:val="auto"/>
          <w:sz w:val="32"/>
          <w:szCs w:val="32"/>
          <w:lang w:eastAsia="zh-CN"/>
        </w:rPr>
        <w:t>存储U盘</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连同纸质</w:t>
      </w:r>
      <w:r>
        <w:rPr>
          <w:rFonts w:hint="eastAsia" w:ascii="仿宋_GB2312" w:hAnsi="仿宋_GB2312" w:eastAsia="仿宋_GB2312" w:cs="仿宋_GB2312"/>
          <w:color w:val="auto"/>
          <w:sz w:val="32"/>
          <w:szCs w:val="32"/>
          <w:lang w:val="en-US" w:eastAsia="zh-CN"/>
        </w:rPr>
        <w:t>版</w:t>
      </w:r>
      <w:r>
        <w:rPr>
          <w:rFonts w:hint="eastAsia" w:ascii="仿宋_GB2312" w:hAnsi="仿宋_GB2312" w:eastAsia="仿宋_GB2312" w:cs="仿宋_GB2312"/>
          <w:color w:val="auto"/>
          <w:sz w:val="32"/>
          <w:szCs w:val="32"/>
          <w:lang w:eastAsia="zh-CN"/>
        </w:rPr>
        <w:t>材料，</w:t>
      </w:r>
      <w:r>
        <w:rPr>
          <w:rFonts w:hint="eastAsia" w:ascii="仿宋_GB2312" w:hAnsi="仿宋_GB2312" w:eastAsia="仿宋_GB2312" w:cs="仿宋_GB2312"/>
          <w:color w:val="auto"/>
          <w:sz w:val="32"/>
          <w:szCs w:val="32"/>
          <w:lang w:val="en-US" w:eastAsia="zh-CN"/>
        </w:rPr>
        <w:t>装入</w:t>
      </w:r>
      <w:r>
        <w:rPr>
          <w:rFonts w:hint="eastAsia" w:ascii="仿宋_GB2312" w:hAnsi="仿宋_GB2312" w:eastAsia="仿宋_GB2312" w:cs="仿宋_GB2312"/>
          <w:color w:val="auto"/>
          <w:sz w:val="32"/>
          <w:szCs w:val="32"/>
          <w:lang w:eastAsia="zh-CN"/>
        </w:rPr>
        <w:t>密封</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lang w:eastAsia="zh-CN"/>
        </w:rPr>
        <w:t>信封</w:t>
      </w:r>
      <w:r>
        <w:rPr>
          <w:rFonts w:hint="eastAsia" w:ascii="仿宋_GB2312" w:hAnsi="仿宋_GB2312" w:eastAsia="仿宋_GB2312" w:cs="仿宋_GB2312"/>
          <w:color w:val="auto"/>
          <w:sz w:val="32"/>
          <w:szCs w:val="32"/>
        </w:rPr>
        <w:t>或包装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参选文件封面应当</w:t>
      </w:r>
      <w:r>
        <w:rPr>
          <w:rFonts w:hint="eastAsia" w:ascii="仿宋_GB2312" w:hAnsi="仿宋_GB2312" w:eastAsia="仿宋_GB2312" w:cs="仿宋_GB2312"/>
          <w:color w:val="auto"/>
          <w:sz w:val="32"/>
          <w:szCs w:val="32"/>
          <w:lang w:eastAsia="zh-CN"/>
        </w:rPr>
        <w:t>标明项目名称、</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lang w:eastAsia="zh-CN"/>
        </w:rPr>
        <w:t>名称、联系地址</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lang w:eastAsia="zh-CN"/>
        </w:rPr>
        <w:t>方式、</w:t>
      </w:r>
      <w:r>
        <w:rPr>
          <w:rFonts w:hint="eastAsia" w:ascii="仿宋_GB2312" w:hAnsi="仿宋_GB2312" w:eastAsia="仿宋_GB2312" w:cs="仿宋_GB2312"/>
          <w:color w:val="auto"/>
          <w:sz w:val="32"/>
          <w:szCs w:val="32"/>
          <w:lang w:val="en-US" w:eastAsia="zh-CN"/>
        </w:rPr>
        <w:t>参选日期</w:t>
      </w:r>
      <w:r>
        <w:rPr>
          <w:rFonts w:hint="eastAsia" w:ascii="仿宋_GB2312" w:hAnsi="仿宋_GB2312" w:eastAsia="仿宋_GB2312" w:cs="仿宋_GB2312"/>
          <w:color w:val="auto"/>
          <w:sz w:val="32"/>
          <w:szCs w:val="32"/>
          <w:lang w:eastAsia="zh-CN"/>
        </w:rPr>
        <w:t>，封口处加盖</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lang w:eastAsia="zh-CN"/>
        </w:rPr>
        <w:t>公章递交</w:t>
      </w:r>
      <w:r>
        <w:rPr>
          <w:rFonts w:hint="eastAsia" w:ascii="仿宋_GB2312" w:hAnsi="仿宋_GB2312" w:eastAsia="仿宋_GB2312" w:cs="仿宋_GB2312"/>
          <w:color w:val="auto"/>
          <w:sz w:val="32"/>
          <w:szCs w:val="32"/>
          <w:lang w:val="en-US" w:eastAsia="zh-CN"/>
        </w:rPr>
        <w:t>至指定地点</w:t>
      </w:r>
      <w:r>
        <w:rPr>
          <w:rFonts w:hint="eastAsia" w:ascii="仿宋_GB2312" w:hAnsi="仿宋_GB2312" w:eastAsia="仿宋_GB2312" w:cs="仿宋_GB2312"/>
          <w:color w:val="auto"/>
          <w:sz w:val="32"/>
          <w:szCs w:val="32"/>
          <w:lang w:eastAsia="zh-CN"/>
        </w:rPr>
        <w:t>。</w:t>
      </w:r>
    </w:p>
    <w:p w14:paraId="375F5144">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2.参选文件</w:t>
      </w:r>
      <w:r>
        <w:rPr>
          <w:rFonts w:hint="eastAsia" w:ascii="仿宋_GB2312" w:hAnsi="仿宋_GB2312" w:eastAsia="仿宋_GB2312" w:cs="仿宋_GB2312"/>
          <w:color w:val="auto"/>
          <w:sz w:val="32"/>
          <w:szCs w:val="32"/>
          <w:lang w:eastAsia="zh-CN"/>
        </w:rPr>
        <w:t>纸质版材料正本</w:t>
      </w:r>
      <w:r>
        <w:rPr>
          <w:rFonts w:hint="eastAsia" w:ascii="仿宋_GB2312" w:hAnsi="仿宋_GB2312" w:eastAsia="仿宋_GB2312" w:cs="仿宋_GB2312"/>
          <w:color w:val="auto"/>
          <w:sz w:val="32"/>
          <w:szCs w:val="32"/>
          <w:lang w:val="en-US" w:eastAsia="zh-CN"/>
        </w:rPr>
        <w:t>壹</w:t>
      </w:r>
      <w:r>
        <w:rPr>
          <w:rFonts w:hint="eastAsia" w:ascii="仿宋_GB2312" w:hAnsi="仿宋_GB2312" w:eastAsia="仿宋_GB2312" w:cs="仿宋_GB2312"/>
          <w:color w:val="auto"/>
          <w:sz w:val="32"/>
          <w:szCs w:val="32"/>
          <w:lang w:eastAsia="zh-CN"/>
        </w:rPr>
        <w:t>份，副本</w:t>
      </w:r>
      <w:r>
        <w:rPr>
          <w:rFonts w:hint="eastAsia" w:ascii="仿宋_GB2312" w:hAnsi="仿宋_GB2312" w:eastAsia="仿宋_GB2312" w:cs="仿宋_GB2312"/>
          <w:color w:val="auto"/>
          <w:sz w:val="32"/>
          <w:szCs w:val="32"/>
          <w:lang w:val="en-US" w:eastAsia="zh-CN"/>
        </w:rPr>
        <w:t>贰</w:t>
      </w:r>
      <w:r>
        <w:rPr>
          <w:rFonts w:hint="eastAsia" w:ascii="仿宋_GB2312" w:hAnsi="仿宋_GB2312" w:eastAsia="仿宋_GB2312" w:cs="仿宋_GB2312"/>
          <w:color w:val="auto"/>
          <w:sz w:val="32"/>
          <w:szCs w:val="32"/>
          <w:lang w:eastAsia="zh-CN"/>
        </w:rPr>
        <w:t>份，并在其封面上清楚地标明“正本”或“副本”字样；</w:t>
      </w:r>
      <w:r>
        <w:rPr>
          <w:rFonts w:hint="eastAsia" w:ascii="仿宋_GB2312" w:hAnsi="仿宋_GB2312" w:eastAsia="仿宋_GB2312" w:cs="仿宋_GB2312"/>
          <w:color w:val="auto"/>
          <w:sz w:val="32"/>
          <w:szCs w:val="32"/>
          <w:lang w:val="en-US" w:eastAsia="zh-CN"/>
        </w:rPr>
        <w:t>正本与副本不一致的，以正本为准；</w:t>
      </w:r>
      <w:r>
        <w:rPr>
          <w:rFonts w:hint="eastAsia" w:ascii="仿宋_GB2312" w:hAnsi="仿宋_GB2312" w:eastAsia="仿宋_GB2312" w:cs="仿宋_GB2312"/>
          <w:color w:val="auto"/>
          <w:sz w:val="32"/>
          <w:szCs w:val="32"/>
          <w:lang w:eastAsia="zh-CN"/>
        </w:rPr>
        <w:t>正本和副本均需在规定签章处签</w:t>
      </w:r>
      <w:r>
        <w:rPr>
          <w:rFonts w:hint="eastAsia" w:ascii="仿宋_GB2312" w:hAnsi="仿宋_GB2312" w:eastAsia="仿宋_GB2312" w:cs="仿宋_GB2312"/>
          <w:color w:val="auto"/>
          <w:sz w:val="32"/>
          <w:szCs w:val="32"/>
          <w:lang w:val="en-US" w:eastAsia="zh-CN"/>
        </w:rPr>
        <w:t>名</w:t>
      </w:r>
      <w:r>
        <w:rPr>
          <w:rFonts w:hint="eastAsia" w:ascii="仿宋_GB2312" w:hAnsi="仿宋_GB2312" w:eastAsia="仿宋_GB2312" w:cs="仿宋_GB2312"/>
          <w:color w:val="auto"/>
          <w:sz w:val="32"/>
          <w:szCs w:val="32"/>
          <w:lang w:eastAsia="zh-CN"/>
        </w:rPr>
        <w:t>盖章</w:t>
      </w:r>
      <w:r>
        <w:rPr>
          <w:rFonts w:hint="eastAsia" w:ascii="仿宋_GB2312" w:hAnsi="仿宋_GB2312" w:eastAsia="仿宋_GB2312" w:cs="仿宋_GB2312"/>
          <w:color w:val="auto"/>
          <w:sz w:val="32"/>
          <w:szCs w:val="32"/>
          <w:lang w:val="en-US" w:eastAsia="zh-CN"/>
        </w:rPr>
        <w:t>或</w:t>
      </w:r>
      <w:r>
        <w:rPr>
          <w:rFonts w:hint="eastAsia" w:ascii="仿宋_GB2312" w:hAnsi="仿宋_GB2312" w:eastAsia="仿宋_GB2312" w:cs="仿宋_GB2312"/>
          <w:color w:val="auto"/>
          <w:sz w:val="32"/>
          <w:szCs w:val="32"/>
          <w:lang w:eastAsia="zh-CN"/>
        </w:rPr>
        <w:t>加盖骑缝章。</w:t>
      </w:r>
    </w:p>
    <w:p w14:paraId="53E74E0F">
      <w:pPr>
        <w:keepNext w:val="0"/>
        <w:keepLines w:val="0"/>
        <w:pageBreakBefore w:val="0"/>
        <w:widowControl/>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lang w:val="en-US" w:eastAsia="zh-CN"/>
        </w:rPr>
        <w:t>其他说明</w:t>
      </w:r>
    </w:p>
    <w:p w14:paraId="43B13C3C">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3" w:firstLineChars="200"/>
        <w:jc w:val="both"/>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（一）比选文件获取方式</w:t>
      </w:r>
    </w:p>
    <w:p w14:paraId="7D966CF4">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请有意参加本项目的</w:t>
      </w:r>
      <w:r>
        <w:rPr>
          <w:rFonts w:hint="eastAsia" w:ascii="仿宋_GB2312" w:hAnsi="仿宋_GB2312" w:eastAsia="仿宋_GB2312" w:cs="仿宋_GB2312"/>
          <w:color w:val="auto"/>
          <w:sz w:val="32"/>
          <w:szCs w:val="32"/>
          <w:lang w:val="en-US" w:eastAsia="zh-CN"/>
        </w:rPr>
        <w:t>潜在参选人</w:t>
      </w:r>
      <w:r>
        <w:rPr>
          <w:rFonts w:hint="eastAsia" w:ascii="仿宋_GB2312" w:hAnsi="仿宋_GB2312" w:eastAsia="仿宋_GB2312" w:cs="仿宋_GB2312"/>
          <w:color w:val="auto"/>
          <w:sz w:val="32"/>
          <w:szCs w:val="32"/>
          <w:lang w:eastAsia="zh-CN"/>
        </w:rPr>
        <w:t>，前往海南联合资产管理有限公司网站（http://www.hnlhzc.com/）自行下载</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eastAsia="zh-CN"/>
        </w:rPr>
        <w:t>文件。</w:t>
      </w:r>
    </w:p>
    <w:p w14:paraId="620A254D">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（二）参选文件递交截止时间</w:t>
      </w:r>
    </w:p>
    <w:p w14:paraId="2B8D0CD6">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lang w:eastAsia="zh-CN"/>
        </w:rPr>
        <w:t>文件须于</w:t>
      </w: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eastAsia="zh-CN"/>
        </w:rPr>
        <w:t>时前递交至</w:t>
      </w:r>
      <w:r>
        <w:rPr>
          <w:rFonts w:hint="eastAsia" w:ascii="仿宋_GB2312" w:hAnsi="仿宋_GB2312" w:eastAsia="仿宋_GB2312" w:cs="仿宋_GB2312"/>
          <w:color w:val="auto"/>
          <w:sz w:val="32"/>
          <w:szCs w:val="32"/>
          <w:lang w:val="en-US" w:eastAsia="zh-CN"/>
        </w:rPr>
        <w:t>指定地点；</w:t>
      </w:r>
      <w:r>
        <w:rPr>
          <w:rFonts w:hint="eastAsia" w:ascii="仿宋_GB2312" w:hAnsi="仿宋_GB2312" w:eastAsia="仿宋_GB2312" w:cs="仿宋_GB2312"/>
          <w:color w:val="auto"/>
          <w:sz w:val="32"/>
          <w:szCs w:val="32"/>
          <w:lang w:eastAsia="zh-CN"/>
        </w:rPr>
        <w:t>逾期送达的或不符合</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eastAsia="zh-CN"/>
        </w:rPr>
        <w:t>文件规定要求的</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lang w:eastAsia="zh-CN"/>
        </w:rPr>
        <w:t>文件，</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lang w:eastAsia="zh-CN"/>
        </w:rPr>
        <w:t>不予</w:t>
      </w:r>
      <w:r>
        <w:rPr>
          <w:rFonts w:hint="eastAsia" w:ascii="仿宋_GB2312" w:hAnsi="仿宋_GB2312" w:eastAsia="仿宋_GB2312" w:cs="仿宋_GB2312"/>
          <w:color w:val="auto"/>
          <w:sz w:val="32"/>
          <w:szCs w:val="32"/>
          <w:lang w:val="en-US" w:eastAsia="zh-CN"/>
        </w:rPr>
        <w:t>受理</w:t>
      </w:r>
      <w:r>
        <w:rPr>
          <w:rFonts w:hint="eastAsia" w:ascii="仿宋_GB2312" w:hAnsi="仿宋_GB2312" w:eastAsia="仿宋_GB2312" w:cs="仿宋_GB2312"/>
          <w:color w:val="auto"/>
          <w:sz w:val="32"/>
          <w:szCs w:val="32"/>
          <w:lang w:eastAsia="zh-CN"/>
        </w:rPr>
        <w:t>。</w:t>
      </w:r>
    </w:p>
    <w:p w14:paraId="749D6F50">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（三）参选文件递交地址</w:t>
      </w:r>
    </w:p>
    <w:p w14:paraId="2ADA93B9">
      <w:pPr>
        <w:pStyle w:val="20"/>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海南省海口市</w:t>
      </w:r>
      <w:r>
        <w:rPr>
          <w:rFonts w:hint="eastAsia" w:ascii="仿宋_GB2312" w:hAnsi="仿宋_GB2312" w:eastAsia="仿宋_GB2312" w:cs="仿宋_GB2312"/>
          <w:color w:val="auto"/>
          <w:sz w:val="32"/>
          <w:szCs w:val="32"/>
          <w:lang w:val="en-US" w:eastAsia="zh-CN"/>
        </w:rPr>
        <w:t>龙华区</w:t>
      </w:r>
      <w:r>
        <w:rPr>
          <w:rFonts w:hint="eastAsia" w:ascii="仿宋_GB2312" w:hAnsi="仿宋_GB2312" w:eastAsia="仿宋_GB2312" w:cs="仿宋_GB2312"/>
          <w:color w:val="auto"/>
          <w:sz w:val="32"/>
          <w:szCs w:val="32"/>
          <w:lang w:eastAsia="zh-CN"/>
        </w:rPr>
        <w:t>滨海大道81号南洋大厦23</w:t>
      </w:r>
      <w:r>
        <w:rPr>
          <w:rFonts w:hint="eastAsia" w:ascii="仿宋_GB2312" w:hAnsi="仿宋_GB2312" w:eastAsia="仿宋_GB2312" w:cs="仿宋_GB2312"/>
          <w:color w:val="auto"/>
          <w:sz w:val="32"/>
          <w:szCs w:val="32"/>
          <w:lang w:val="en-US" w:eastAsia="zh-CN"/>
        </w:rPr>
        <w:t>楼</w:t>
      </w:r>
      <w:r>
        <w:rPr>
          <w:rFonts w:hint="eastAsia" w:ascii="仿宋_GB2312" w:hAnsi="仿宋_GB2312" w:eastAsia="仿宋_GB2312" w:cs="仿宋_GB2312"/>
          <w:color w:val="auto"/>
          <w:sz w:val="32"/>
          <w:szCs w:val="32"/>
          <w:lang w:eastAsia="zh-CN"/>
        </w:rPr>
        <w:t>海南联合资产管理有限公司</w:t>
      </w:r>
      <w:r>
        <w:rPr>
          <w:rFonts w:hint="eastAsia" w:ascii="仿宋_GB2312" w:hAnsi="仿宋_GB2312" w:eastAsia="仿宋_GB2312" w:cs="仿宋_GB2312"/>
          <w:color w:val="auto"/>
          <w:sz w:val="32"/>
          <w:szCs w:val="32"/>
          <w:lang w:val="en-US" w:eastAsia="zh-CN"/>
        </w:rPr>
        <w:t>。</w:t>
      </w:r>
    </w:p>
    <w:p w14:paraId="45FBEF5C">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（四）现场评审时间、地点</w:t>
      </w:r>
    </w:p>
    <w:p w14:paraId="521451ED">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本项目拟定于2025</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时，</w:t>
      </w:r>
      <w:r>
        <w:rPr>
          <w:rFonts w:hint="eastAsia" w:ascii="仿宋_GB2312" w:hAnsi="仿宋_GB2312" w:eastAsia="仿宋_GB2312" w:cs="仿宋_GB2312"/>
          <w:color w:val="auto"/>
          <w:sz w:val="32"/>
          <w:szCs w:val="32"/>
          <w:lang w:val="en-US" w:eastAsia="zh-CN"/>
        </w:rPr>
        <w:t>在</w:t>
      </w:r>
      <w:r>
        <w:rPr>
          <w:rFonts w:hint="eastAsia" w:ascii="仿宋_GB2312" w:hAnsi="仿宋_GB2312" w:eastAsia="仿宋_GB2312" w:cs="仿宋_GB2312"/>
          <w:color w:val="auto"/>
          <w:sz w:val="32"/>
          <w:szCs w:val="32"/>
          <w:lang w:eastAsia="zh-CN"/>
        </w:rPr>
        <w:t>海南省海口市</w:t>
      </w:r>
      <w:r>
        <w:rPr>
          <w:rFonts w:hint="eastAsia" w:ascii="仿宋_GB2312" w:hAnsi="仿宋_GB2312" w:eastAsia="仿宋_GB2312" w:cs="仿宋_GB2312"/>
          <w:color w:val="auto"/>
          <w:sz w:val="32"/>
          <w:szCs w:val="32"/>
          <w:lang w:val="en-US" w:eastAsia="zh-CN"/>
        </w:rPr>
        <w:t>龙华区</w:t>
      </w:r>
      <w:r>
        <w:rPr>
          <w:rFonts w:hint="eastAsia" w:ascii="仿宋_GB2312" w:hAnsi="仿宋_GB2312" w:eastAsia="仿宋_GB2312" w:cs="仿宋_GB2312"/>
          <w:color w:val="auto"/>
          <w:sz w:val="32"/>
          <w:szCs w:val="32"/>
          <w:lang w:eastAsia="zh-CN"/>
        </w:rPr>
        <w:t>滨海大道81号南洋大厦23</w:t>
      </w:r>
      <w:r>
        <w:rPr>
          <w:rFonts w:hint="eastAsia" w:ascii="仿宋_GB2312" w:hAnsi="仿宋_GB2312" w:eastAsia="仿宋_GB2312" w:cs="仿宋_GB2312"/>
          <w:color w:val="auto"/>
          <w:sz w:val="32"/>
          <w:szCs w:val="32"/>
          <w:lang w:val="en-US" w:eastAsia="zh-CN"/>
        </w:rPr>
        <w:t>楼</w:t>
      </w:r>
      <w:r>
        <w:rPr>
          <w:rFonts w:hint="eastAsia" w:ascii="仿宋_GB2312" w:hAnsi="仿宋_GB2312" w:eastAsia="仿宋_GB2312" w:cs="仿宋_GB2312"/>
          <w:color w:val="auto"/>
          <w:sz w:val="32"/>
          <w:szCs w:val="32"/>
          <w:lang w:eastAsia="zh-CN"/>
        </w:rPr>
        <w:t>海南联合资产管理有限公司会议室</w:t>
      </w:r>
      <w:r>
        <w:rPr>
          <w:rFonts w:hint="eastAsia" w:ascii="仿宋_GB2312" w:hAnsi="仿宋_GB2312" w:eastAsia="仿宋_GB2312" w:cs="仿宋_GB2312"/>
          <w:color w:val="auto"/>
          <w:sz w:val="32"/>
          <w:szCs w:val="32"/>
          <w:lang w:val="en-US" w:eastAsia="zh-CN"/>
        </w:rPr>
        <w:t>现场评审；现场评审结束后在</w:t>
      </w:r>
      <w:r>
        <w:rPr>
          <w:rFonts w:hint="eastAsia" w:ascii="仿宋_GB2312" w:hAnsi="仿宋_GB2312" w:eastAsia="仿宋_GB2312" w:cs="仿宋_GB2312"/>
          <w:color w:val="auto"/>
          <w:sz w:val="32"/>
          <w:szCs w:val="32"/>
          <w:lang w:eastAsia="zh-CN"/>
        </w:rPr>
        <w:t>海南联合资产管理有限公司网站（http://www.hnlhzc.com/）</w:t>
      </w:r>
      <w:r>
        <w:rPr>
          <w:rFonts w:hint="eastAsia" w:ascii="仿宋_GB2312" w:hAnsi="仿宋_GB2312" w:eastAsia="仿宋_GB2312" w:cs="仿宋_GB2312"/>
          <w:color w:val="auto"/>
          <w:sz w:val="32"/>
          <w:szCs w:val="32"/>
          <w:lang w:val="en-US" w:eastAsia="zh-CN"/>
        </w:rPr>
        <w:t>公告中选人名单</w:t>
      </w:r>
      <w:r>
        <w:rPr>
          <w:rFonts w:hint="eastAsia" w:ascii="仿宋_GB2312" w:hAnsi="仿宋_GB2312" w:eastAsia="仿宋_GB2312" w:cs="仿宋_GB2312"/>
          <w:color w:val="auto"/>
          <w:sz w:val="32"/>
          <w:szCs w:val="32"/>
          <w:lang w:eastAsia="zh-CN"/>
        </w:rPr>
        <w:t>。</w:t>
      </w:r>
    </w:p>
    <w:p w14:paraId="266C112D">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3" w:firstLineChars="200"/>
        <w:jc w:val="both"/>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（五）项目咨询联系方式</w:t>
      </w:r>
    </w:p>
    <w:p w14:paraId="7053FEF8">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lang w:eastAsia="zh-CN"/>
        </w:rPr>
        <w:t>有关事项需要咨询</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可以与下列人员联系：</w:t>
      </w:r>
    </w:p>
    <w:p w14:paraId="66C6F9F2">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 系 人：</w:t>
      </w:r>
      <w:r>
        <w:rPr>
          <w:rFonts w:hint="eastAsia" w:ascii="仿宋_GB2312" w:hAnsi="仿宋_GB2312" w:eastAsia="仿宋_GB2312" w:cs="仿宋_GB2312"/>
          <w:color w:val="auto"/>
          <w:sz w:val="32"/>
          <w:szCs w:val="32"/>
          <w:lang w:val="en-US" w:eastAsia="zh-CN"/>
        </w:rPr>
        <w:t>凌绵翰</w:t>
      </w:r>
      <w:r>
        <w:rPr>
          <w:rFonts w:hint="eastAsia" w:ascii="仿宋_GB2312" w:hAnsi="仿宋_GB2312" w:eastAsia="仿宋_GB2312" w:cs="仿宋_GB2312"/>
          <w:color w:val="auto"/>
          <w:sz w:val="32"/>
          <w:szCs w:val="32"/>
          <w:lang w:eastAsia="zh-CN"/>
        </w:rPr>
        <w:t>，联系电话：</w:t>
      </w:r>
      <w:r>
        <w:rPr>
          <w:rFonts w:hint="eastAsia" w:ascii="仿宋_GB2312" w:hAnsi="仿宋_GB2312" w:eastAsia="仿宋_GB2312" w:cs="仿宋_GB2312"/>
          <w:color w:val="auto"/>
          <w:sz w:val="32"/>
          <w:szCs w:val="32"/>
          <w:lang w:val="en-US" w:eastAsia="zh-CN"/>
        </w:rPr>
        <w:t>13158904490</w:t>
      </w:r>
    </w:p>
    <w:p w14:paraId="27839D2C">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 系 人：</w:t>
      </w:r>
      <w:r>
        <w:rPr>
          <w:rFonts w:hint="eastAsia" w:ascii="仿宋_GB2312" w:hAnsi="仿宋_GB2312" w:eastAsia="仿宋_GB2312" w:cs="仿宋_GB2312"/>
          <w:color w:val="auto"/>
          <w:sz w:val="32"/>
          <w:szCs w:val="32"/>
          <w:lang w:val="en-US" w:eastAsia="zh-CN"/>
        </w:rPr>
        <w:t>周执弘</w:t>
      </w:r>
      <w:r>
        <w:rPr>
          <w:rFonts w:hint="eastAsia" w:ascii="仿宋_GB2312" w:hAnsi="仿宋_GB2312" w:eastAsia="仿宋_GB2312" w:cs="仿宋_GB2312"/>
          <w:color w:val="auto"/>
          <w:sz w:val="32"/>
          <w:szCs w:val="32"/>
          <w:lang w:eastAsia="zh-CN"/>
        </w:rPr>
        <w:t>，联系电话：</w:t>
      </w:r>
      <w:r>
        <w:rPr>
          <w:rFonts w:hint="eastAsia" w:ascii="仿宋_GB2312" w:hAnsi="仿宋_GB2312" w:eastAsia="仿宋_GB2312" w:cs="仿宋_GB2312"/>
          <w:color w:val="auto"/>
          <w:sz w:val="32"/>
          <w:szCs w:val="32"/>
          <w:lang w:val="en-US" w:eastAsia="zh-CN"/>
        </w:rPr>
        <w:t>18808977510</w:t>
      </w:r>
    </w:p>
    <w:p w14:paraId="0B4F0D59">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联系地址：海南省海口市</w:t>
      </w:r>
      <w:r>
        <w:rPr>
          <w:rFonts w:hint="eastAsia" w:ascii="仿宋_GB2312" w:hAnsi="仿宋_GB2312" w:eastAsia="仿宋_GB2312" w:cs="仿宋_GB2312"/>
          <w:color w:val="auto"/>
          <w:sz w:val="32"/>
          <w:szCs w:val="32"/>
          <w:lang w:val="en-US" w:eastAsia="zh-CN"/>
        </w:rPr>
        <w:t>龙华区</w:t>
      </w:r>
      <w:r>
        <w:rPr>
          <w:rFonts w:hint="eastAsia" w:ascii="仿宋_GB2312" w:hAnsi="仿宋_GB2312" w:eastAsia="仿宋_GB2312" w:cs="仿宋_GB2312"/>
          <w:color w:val="auto"/>
          <w:sz w:val="32"/>
          <w:szCs w:val="32"/>
          <w:lang w:eastAsia="zh-CN"/>
        </w:rPr>
        <w:t>滨海大道81号南洋大厦23</w:t>
      </w:r>
      <w:r>
        <w:rPr>
          <w:rFonts w:hint="eastAsia" w:ascii="仿宋_GB2312" w:hAnsi="仿宋_GB2312" w:eastAsia="仿宋_GB2312" w:cs="仿宋_GB2312"/>
          <w:color w:val="auto"/>
          <w:sz w:val="32"/>
          <w:szCs w:val="32"/>
          <w:lang w:val="en-US" w:eastAsia="zh-CN"/>
        </w:rPr>
        <w:t>楼2302办公室法律事务部</w:t>
      </w:r>
    </w:p>
    <w:p w14:paraId="27F76CD1">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邮政编码：570105</w:t>
      </w:r>
    </w:p>
    <w:p w14:paraId="79FC79B6">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p>
    <w:p w14:paraId="3A9FB6D2">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：海南联合资产管理有限公司公开比选常年法律顾问项目</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eastAsia="zh-CN"/>
        </w:rPr>
        <w:t>文件</w:t>
      </w:r>
    </w:p>
    <w:p w14:paraId="2100B0DE">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p>
    <w:p w14:paraId="35E2771B">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p>
    <w:p w14:paraId="2AB46427">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p>
    <w:p w14:paraId="3B6E555E">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3840" w:firstLineChars="1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海南联合资产管理有限公司</w:t>
      </w:r>
    </w:p>
    <w:p w14:paraId="2A9FB25A">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4480" w:firstLineChars="1400"/>
        <w:jc w:val="both"/>
        <w:textAlignment w:val="auto"/>
        <w:rPr>
          <w:rFonts w:hint="eastAsia"/>
          <w:lang w:eastAsia="zh-CN"/>
        </w:rPr>
      </w:pP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日</w:t>
      </w:r>
    </w:p>
    <w:p w14:paraId="7C561B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bookmarkEnd w:id="8"/>
    <w:p w14:paraId="551F1E5D">
      <w:pPr>
        <w:pStyle w:val="2"/>
        <w:keepNext/>
        <w:keepLines/>
        <w:pageBreakBefore w:val="0"/>
        <w:widowControl w:val="0"/>
        <w:kinsoku/>
        <w:wordWrap w:val="0"/>
        <w:overflowPunct w:val="0"/>
        <w:topLinePunct w:val="0"/>
        <w:autoSpaceDE/>
        <w:autoSpaceDN/>
        <w:bidi w:val="0"/>
        <w:adjustRightInd/>
        <w:snapToGrid/>
        <w:spacing w:before="0" w:after="0" w:line="560" w:lineRule="exact"/>
        <w:jc w:val="center"/>
        <w:textAlignment w:val="auto"/>
        <w:rPr>
          <w:rFonts w:hint="eastAsia" w:ascii="黑体" w:hAnsi="黑体" w:eastAsia="黑体" w:cs="黑体"/>
          <w:b w:val="0"/>
          <w:bCs w:val="0"/>
          <w:color w:val="auto"/>
          <w:lang w:val="en-US" w:eastAsia="zh-CN"/>
        </w:rPr>
      </w:pPr>
      <w:bookmarkStart w:id="11" w:name="_Toc31223"/>
      <w:bookmarkStart w:id="12" w:name="_Toc81784906"/>
      <w:r>
        <w:rPr>
          <w:rFonts w:hint="eastAsia" w:ascii="黑体" w:hAnsi="黑体" w:eastAsia="黑体" w:cs="黑体"/>
          <w:b w:val="0"/>
          <w:bCs w:val="0"/>
          <w:color w:val="auto"/>
          <w:lang w:val="en-US" w:eastAsia="zh-CN"/>
        </w:rPr>
        <w:t>第二章</w:t>
      </w:r>
      <w:bookmarkEnd w:id="9"/>
      <w:r>
        <w:rPr>
          <w:rFonts w:hint="eastAsia" w:ascii="黑体" w:hAnsi="黑体" w:eastAsia="黑体" w:cs="黑体"/>
          <w:b w:val="0"/>
          <w:bCs w:val="0"/>
          <w:color w:val="auto"/>
          <w:lang w:val="en-US" w:eastAsia="zh-CN"/>
        </w:rPr>
        <w:t xml:space="preserve"> 参选须知</w:t>
      </w:r>
      <w:bookmarkEnd w:id="11"/>
      <w:bookmarkEnd w:id="12"/>
    </w:p>
    <w:p w14:paraId="6A2A6A34">
      <w:pPr>
        <w:pageBreakBefore w:val="0"/>
        <w:kinsoku/>
        <w:wordWrap w:val="0"/>
        <w:overflowPunct w:val="0"/>
        <w:topLinePunct w:val="0"/>
        <w:autoSpaceDE/>
        <w:autoSpaceDN/>
        <w:bidi w:val="0"/>
        <w:adjustRightInd/>
        <w:spacing w:beforeAutospacing="0" w:afterAutospacing="0" w:line="560" w:lineRule="exact"/>
        <w:ind w:left="0" w:right="0" w:firstLine="0" w:firstLineChars="0"/>
        <w:jc w:val="both"/>
        <w:textAlignment w:val="auto"/>
        <w:rPr>
          <w:rFonts w:hint="eastAsia" w:ascii="仿宋_GB2312" w:hAnsi="仿宋_GB2312" w:eastAsia="仿宋_GB2312" w:cs="仿宋_GB2312"/>
          <w:color w:val="auto"/>
          <w:sz w:val="32"/>
          <w:szCs w:val="32"/>
        </w:rPr>
      </w:pPr>
      <w:bookmarkStart w:id="13" w:name="_Toc22742"/>
      <w:bookmarkStart w:id="14" w:name="_Toc81784910"/>
    </w:p>
    <w:p w14:paraId="02018F0A">
      <w:pPr>
        <w:pageBreakBefore w:val="0"/>
        <w:kinsoku/>
        <w:wordWrap w:val="0"/>
        <w:overflowPunct w:val="0"/>
        <w:topLinePunct w:val="0"/>
        <w:autoSpaceDE/>
        <w:autoSpaceDN/>
        <w:bidi w:val="0"/>
        <w:adjustRightInd/>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一、</w:t>
      </w:r>
      <w:r>
        <w:rPr>
          <w:rFonts w:hint="eastAsia" w:ascii="黑体" w:hAnsi="黑体" w:eastAsia="黑体" w:cs="黑体"/>
          <w:b w:val="0"/>
          <w:bCs w:val="0"/>
          <w:color w:val="auto"/>
          <w:sz w:val="32"/>
          <w:szCs w:val="32"/>
          <w:lang w:val="en-US" w:eastAsia="zh-CN"/>
        </w:rPr>
        <w:t>参选</w:t>
      </w:r>
      <w:r>
        <w:rPr>
          <w:rFonts w:hint="eastAsia" w:ascii="黑体" w:hAnsi="黑体" w:eastAsia="黑体" w:cs="黑体"/>
          <w:b w:val="0"/>
          <w:bCs w:val="0"/>
          <w:color w:val="auto"/>
          <w:sz w:val="32"/>
          <w:szCs w:val="32"/>
        </w:rPr>
        <w:t>须知前附表</w:t>
      </w:r>
    </w:p>
    <w:tbl>
      <w:tblPr>
        <w:tblStyle w:val="29"/>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718"/>
        <w:gridCol w:w="1702"/>
        <w:gridCol w:w="4999"/>
      </w:tblGrid>
      <w:tr w14:paraId="17A9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430085D2">
            <w:pPr>
              <w:keepNext w:val="0"/>
              <w:keepLines w:val="0"/>
              <w:pageBreakBefore w:val="0"/>
              <w:widowControl/>
              <w:kinsoku/>
              <w:wordWrap/>
              <w:overflowPunct w:val="0"/>
              <w:topLinePunct w:val="0"/>
              <w:autoSpaceDE/>
              <w:autoSpaceDN/>
              <w:bidi w:val="0"/>
              <w:adjustRightInd/>
              <w:snapToGrid/>
              <w:spacing w:beforeAutospacing="0" w:afterAutospacing="0" w:line="460" w:lineRule="exact"/>
              <w:ind w:left="0" w:right="0" w:firstLine="0" w:firstLineChars="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序号</w:t>
            </w:r>
          </w:p>
        </w:tc>
        <w:tc>
          <w:tcPr>
            <w:tcW w:w="1718" w:type="dxa"/>
            <w:vAlign w:val="center"/>
          </w:tcPr>
          <w:p w14:paraId="437DA47C">
            <w:pPr>
              <w:keepNext w:val="0"/>
              <w:keepLines w:val="0"/>
              <w:pageBreakBefore w:val="0"/>
              <w:widowControl/>
              <w:kinsoku/>
              <w:wordWrap/>
              <w:overflowPunct w:val="0"/>
              <w:topLinePunct w:val="0"/>
              <w:autoSpaceDE/>
              <w:autoSpaceDN/>
              <w:bidi w:val="0"/>
              <w:adjustRightInd/>
              <w:snapToGrid/>
              <w:spacing w:beforeAutospacing="0" w:afterAutospacing="0" w:line="460" w:lineRule="exact"/>
              <w:ind w:left="0" w:right="0" w:firstLine="0" w:firstLineChars="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内容</w:t>
            </w:r>
          </w:p>
        </w:tc>
        <w:tc>
          <w:tcPr>
            <w:tcW w:w="6701" w:type="dxa"/>
            <w:gridSpan w:val="2"/>
            <w:vAlign w:val="center"/>
          </w:tcPr>
          <w:p w14:paraId="53021C7B">
            <w:pPr>
              <w:keepNext w:val="0"/>
              <w:keepLines w:val="0"/>
              <w:pageBreakBefore w:val="0"/>
              <w:widowControl/>
              <w:kinsoku/>
              <w:wordWrap/>
              <w:overflowPunct w:val="0"/>
              <w:topLinePunct w:val="0"/>
              <w:autoSpaceDE/>
              <w:autoSpaceDN/>
              <w:bidi w:val="0"/>
              <w:adjustRightInd/>
              <w:snapToGrid/>
              <w:spacing w:beforeAutospacing="0" w:afterAutospacing="0" w:line="460" w:lineRule="exact"/>
              <w:ind w:left="0" w:right="0" w:firstLine="0" w:firstLineChars="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说明要求</w:t>
            </w:r>
          </w:p>
        </w:tc>
      </w:tr>
      <w:tr w14:paraId="3FE2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93" w:type="dxa"/>
            <w:vMerge w:val="restart"/>
            <w:vAlign w:val="center"/>
          </w:tcPr>
          <w:p w14:paraId="1ED43042">
            <w:pPr>
              <w:keepNext w:val="0"/>
              <w:keepLines w:val="0"/>
              <w:pageBreakBefore w:val="0"/>
              <w:widowControl/>
              <w:numPr>
                <w:ilvl w:val="0"/>
                <w:numId w:val="0"/>
              </w:numPr>
              <w:kinsoku/>
              <w:wordWrap/>
              <w:overflowPunct w:val="0"/>
              <w:topLinePunct w:val="0"/>
              <w:autoSpaceDE/>
              <w:autoSpaceDN/>
              <w:bidi w:val="0"/>
              <w:adjustRightInd/>
              <w:spacing w:beforeAutospacing="0" w:afterAutospacing="0" w:line="460" w:lineRule="exact"/>
              <w:ind w:leftChars="0" w:right="0" w:right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p>
        </w:tc>
        <w:tc>
          <w:tcPr>
            <w:tcW w:w="1718" w:type="dxa"/>
            <w:vMerge w:val="restart"/>
            <w:vAlign w:val="center"/>
          </w:tcPr>
          <w:p w14:paraId="389D35E1">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项目</w:t>
            </w:r>
            <w:r>
              <w:rPr>
                <w:rFonts w:hint="eastAsia" w:ascii="仿宋_GB2312" w:hAnsi="仿宋_GB2312" w:eastAsia="仿宋_GB2312" w:cs="仿宋_GB2312"/>
                <w:b w:val="0"/>
                <w:bCs w:val="0"/>
                <w:color w:val="auto"/>
                <w:sz w:val="32"/>
                <w:szCs w:val="32"/>
                <w:lang w:val="en-US" w:eastAsia="zh-CN"/>
              </w:rPr>
              <w:t>概况</w:t>
            </w:r>
          </w:p>
        </w:tc>
        <w:tc>
          <w:tcPr>
            <w:tcW w:w="1702" w:type="dxa"/>
            <w:tcBorders>
              <w:right w:val="single" w:color="000000" w:sz="6" w:space="0"/>
            </w:tcBorders>
            <w:vAlign w:val="center"/>
          </w:tcPr>
          <w:p w14:paraId="20B52D5C">
            <w:pPr>
              <w:keepNext w:val="0"/>
              <w:keepLines w:val="0"/>
              <w:pageBreakBefore w:val="0"/>
              <w:widowControl/>
              <w:kinsoku/>
              <w:wordWrap/>
              <w:overflowPunct w:val="0"/>
              <w:topLinePunct w:val="0"/>
              <w:autoSpaceDE/>
              <w:autoSpaceDN/>
              <w:bidi w:val="0"/>
              <w:adjustRightInd/>
              <w:snapToGrid w:val="0"/>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项目名称</w:t>
            </w:r>
          </w:p>
        </w:tc>
        <w:tc>
          <w:tcPr>
            <w:tcW w:w="4999" w:type="dxa"/>
            <w:tcBorders>
              <w:left w:val="single" w:color="000000" w:sz="6" w:space="0"/>
            </w:tcBorders>
            <w:vAlign w:val="center"/>
          </w:tcPr>
          <w:p w14:paraId="596F2862">
            <w:pPr>
              <w:keepNext w:val="0"/>
              <w:keepLines w:val="0"/>
              <w:pageBreakBefore w:val="0"/>
              <w:widowControl/>
              <w:kinsoku/>
              <w:wordWrap/>
              <w:overflowPunct w:val="0"/>
              <w:topLinePunct w:val="0"/>
              <w:autoSpaceDE/>
              <w:autoSpaceDN/>
              <w:bidi w:val="0"/>
              <w:adjustRightInd/>
              <w:snapToGrid w:val="0"/>
              <w:spacing w:beforeAutospacing="0" w:afterAutospacing="0" w:line="460" w:lineRule="exact"/>
              <w:ind w:left="0" w:right="0" w:firstLine="0" w:firstLineChars="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海南联合资产管理有限公司公开比选常年法律顾问</w:t>
            </w:r>
          </w:p>
        </w:tc>
      </w:tr>
      <w:tr w14:paraId="3120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93" w:type="dxa"/>
            <w:vMerge w:val="continue"/>
            <w:vAlign w:val="center"/>
          </w:tcPr>
          <w:p w14:paraId="5C26F84D">
            <w:pPr>
              <w:keepNext w:val="0"/>
              <w:keepLines w:val="0"/>
              <w:pageBreakBefore w:val="0"/>
              <w:widowControl/>
              <w:numPr>
                <w:ilvl w:val="0"/>
                <w:numId w:val="0"/>
              </w:numPr>
              <w:kinsoku/>
              <w:wordWrap/>
              <w:overflowPunct w:val="0"/>
              <w:topLinePunct w:val="0"/>
              <w:autoSpaceDE/>
              <w:autoSpaceDN/>
              <w:bidi w:val="0"/>
              <w:adjustRightInd/>
              <w:spacing w:beforeAutospacing="0" w:afterAutospacing="0" w:line="460" w:lineRule="exact"/>
              <w:ind w:leftChars="0" w:right="0" w:rightChars="0"/>
              <w:jc w:val="center"/>
              <w:textAlignment w:val="auto"/>
              <w:rPr>
                <w:rFonts w:hint="eastAsia" w:ascii="仿宋_GB2312" w:hAnsi="仿宋_GB2312" w:eastAsia="仿宋_GB2312" w:cs="仿宋_GB2312"/>
                <w:b w:val="0"/>
                <w:bCs w:val="0"/>
                <w:color w:val="auto"/>
                <w:sz w:val="32"/>
                <w:szCs w:val="32"/>
                <w:lang w:val="en-US" w:eastAsia="zh-CN"/>
              </w:rPr>
            </w:pPr>
          </w:p>
        </w:tc>
        <w:tc>
          <w:tcPr>
            <w:tcW w:w="1718" w:type="dxa"/>
            <w:vMerge w:val="continue"/>
            <w:vAlign w:val="center"/>
          </w:tcPr>
          <w:p w14:paraId="54E07814">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p>
        </w:tc>
        <w:tc>
          <w:tcPr>
            <w:tcW w:w="1702" w:type="dxa"/>
            <w:tcBorders>
              <w:right w:val="single" w:color="000000" w:sz="6" w:space="0"/>
            </w:tcBorders>
            <w:vAlign w:val="center"/>
          </w:tcPr>
          <w:p w14:paraId="34B6261F">
            <w:pPr>
              <w:keepNext w:val="0"/>
              <w:keepLines w:val="0"/>
              <w:pageBreakBefore w:val="0"/>
              <w:widowControl/>
              <w:kinsoku/>
              <w:wordWrap/>
              <w:overflowPunct w:val="0"/>
              <w:topLinePunct w:val="0"/>
              <w:autoSpaceDE/>
              <w:autoSpaceDN/>
              <w:bidi w:val="0"/>
              <w:adjustRightInd/>
              <w:snapToGrid w:val="0"/>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项目概述</w:t>
            </w:r>
          </w:p>
        </w:tc>
        <w:tc>
          <w:tcPr>
            <w:tcW w:w="4999" w:type="dxa"/>
            <w:tcBorders>
              <w:left w:val="single" w:color="000000" w:sz="6" w:space="0"/>
            </w:tcBorders>
            <w:vAlign w:val="center"/>
          </w:tcPr>
          <w:p w14:paraId="15E50491">
            <w:pPr>
              <w:keepNext w:val="0"/>
              <w:keepLines w:val="0"/>
              <w:pageBreakBefore w:val="0"/>
              <w:widowControl/>
              <w:kinsoku/>
              <w:wordWrap/>
              <w:overflowPunct w:val="0"/>
              <w:topLinePunct w:val="0"/>
              <w:autoSpaceDE/>
              <w:autoSpaceDN/>
              <w:bidi w:val="0"/>
              <w:adjustRightInd/>
              <w:snapToGrid w:val="0"/>
              <w:spacing w:beforeAutospacing="0" w:afterAutospacing="0" w:line="460" w:lineRule="exact"/>
              <w:ind w:left="0" w:right="0" w:firstLine="0" w:firstLineChars="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通过本次</w:t>
            </w:r>
            <w:r>
              <w:rPr>
                <w:rFonts w:hint="eastAsia" w:ascii="仿宋_GB2312" w:hAnsi="仿宋_GB2312" w:eastAsia="仿宋_GB2312" w:cs="仿宋_GB2312"/>
                <w:b w:val="0"/>
                <w:bCs w:val="0"/>
                <w:color w:val="auto"/>
                <w:sz w:val="32"/>
                <w:szCs w:val="32"/>
                <w:lang w:val="en-US" w:eastAsia="zh-CN"/>
              </w:rPr>
              <w:t>公开比选</w:t>
            </w:r>
            <w:r>
              <w:rPr>
                <w:rFonts w:hint="eastAsia" w:ascii="仿宋_GB2312" w:hAnsi="仿宋_GB2312" w:eastAsia="仿宋_GB2312" w:cs="仿宋_GB2312"/>
                <w:b w:val="0"/>
                <w:bCs w:val="0"/>
                <w:color w:val="auto"/>
                <w:sz w:val="32"/>
                <w:szCs w:val="32"/>
              </w:rPr>
              <w:t>选聘1家律师事务所，作为</w:t>
            </w:r>
            <w:r>
              <w:rPr>
                <w:rFonts w:hint="eastAsia" w:ascii="仿宋_GB2312" w:hAnsi="仿宋_GB2312" w:eastAsia="仿宋_GB2312" w:cs="仿宋_GB2312"/>
                <w:b w:val="0"/>
                <w:bCs w:val="0"/>
                <w:color w:val="auto"/>
                <w:sz w:val="32"/>
                <w:szCs w:val="32"/>
                <w:lang w:val="en-US" w:eastAsia="zh-CN"/>
              </w:rPr>
              <w:t>公司</w:t>
            </w:r>
            <w:r>
              <w:rPr>
                <w:rFonts w:hint="eastAsia" w:ascii="仿宋_GB2312" w:hAnsi="仿宋_GB2312" w:eastAsia="仿宋_GB2312" w:cs="仿宋_GB2312"/>
                <w:b w:val="0"/>
                <w:bCs w:val="0"/>
                <w:color w:val="auto"/>
                <w:sz w:val="32"/>
                <w:szCs w:val="32"/>
              </w:rPr>
              <w:t>常年法律顾问单位，为</w:t>
            </w:r>
            <w:r>
              <w:rPr>
                <w:rFonts w:hint="eastAsia" w:ascii="仿宋_GB2312" w:hAnsi="仿宋_GB2312" w:eastAsia="仿宋_GB2312" w:cs="仿宋_GB2312"/>
                <w:b w:val="0"/>
                <w:bCs w:val="0"/>
                <w:color w:val="auto"/>
                <w:sz w:val="32"/>
                <w:szCs w:val="32"/>
                <w:lang w:val="en-US" w:eastAsia="zh-CN"/>
              </w:rPr>
              <w:t>公司</w:t>
            </w:r>
            <w:r>
              <w:rPr>
                <w:rFonts w:hint="eastAsia" w:ascii="仿宋_GB2312" w:hAnsi="仿宋_GB2312" w:eastAsia="仿宋_GB2312" w:cs="仿宋_GB2312"/>
                <w:b w:val="0"/>
                <w:bCs w:val="0"/>
                <w:color w:val="auto"/>
                <w:sz w:val="32"/>
                <w:szCs w:val="32"/>
              </w:rPr>
              <w:t>提供</w:t>
            </w:r>
            <w:r>
              <w:rPr>
                <w:rFonts w:hint="eastAsia" w:ascii="仿宋_GB2312" w:hAnsi="仿宋_GB2312" w:eastAsia="仿宋_GB2312" w:cs="仿宋_GB2312"/>
                <w:b w:val="0"/>
                <w:bCs w:val="0"/>
                <w:color w:val="auto"/>
                <w:sz w:val="32"/>
                <w:szCs w:val="32"/>
                <w:lang w:val="en-US" w:eastAsia="zh-CN"/>
              </w:rPr>
              <w:t>常年</w:t>
            </w:r>
            <w:r>
              <w:rPr>
                <w:rFonts w:hint="eastAsia" w:ascii="仿宋_GB2312" w:hAnsi="仿宋_GB2312" w:eastAsia="仿宋_GB2312" w:cs="仿宋_GB2312"/>
                <w:b w:val="0"/>
                <w:bCs w:val="0"/>
                <w:color w:val="auto"/>
                <w:sz w:val="32"/>
                <w:szCs w:val="32"/>
              </w:rPr>
              <w:t>法律服务</w:t>
            </w:r>
          </w:p>
        </w:tc>
      </w:tr>
      <w:tr w14:paraId="0B12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14:paraId="7AA07512">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p>
        </w:tc>
        <w:tc>
          <w:tcPr>
            <w:tcW w:w="1718" w:type="dxa"/>
            <w:vMerge w:val="continue"/>
            <w:vAlign w:val="center"/>
          </w:tcPr>
          <w:p w14:paraId="6F4F86E1">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p>
        </w:tc>
        <w:tc>
          <w:tcPr>
            <w:tcW w:w="1702" w:type="dxa"/>
            <w:tcBorders>
              <w:right w:val="single" w:color="000000" w:sz="6" w:space="0"/>
            </w:tcBorders>
            <w:vAlign w:val="center"/>
          </w:tcPr>
          <w:p w14:paraId="4145919E">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服务期限</w:t>
            </w:r>
          </w:p>
        </w:tc>
        <w:tc>
          <w:tcPr>
            <w:tcW w:w="4999" w:type="dxa"/>
            <w:tcBorders>
              <w:left w:val="single" w:color="000000" w:sz="6" w:space="0"/>
            </w:tcBorders>
            <w:vAlign w:val="center"/>
          </w:tcPr>
          <w:p w14:paraId="084AB9E4">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i w:val="0"/>
                <w:iCs w:val="0"/>
                <w:caps w:val="0"/>
                <w:color w:val="auto"/>
                <w:spacing w:val="8"/>
                <w:sz w:val="32"/>
                <w:szCs w:val="32"/>
                <w:highlight w:val="none"/>
                <w:shd w:val="clear" w:fill="FFFFFF"/>
                <w:lang w:val="en-US" w:eastAsia="zh-CN"/>
              </w:rPr>
              <w:t>根据服务合同约定（每年一签，不超过两年）</w:t>
            </w:r>
          </w:p>
        </w:tc>
      </w:tr>
      <w:tr w14:paraId="3C33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93" w:type="dxa"/>
            <w:vMerge w:val="continue"/>
            <w:vAlign w:val="center"/>
          </w:tcPr>
          <w:p w14:paraId="0DFF5856">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p>
        </w:tc>
        <w:tc>
          <w:tcPr>
            <w:tcW w:w="1718" w:type="dxa"/>
            <w:vMerge w:val="continue"/>
            <w:vAlign w:val="center"/>
          </w:tcPr>
          <w:p w14:paraId="3B1E8975">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p>
        </w:tc>
        <w:tc>
          <w:tcPr>
            <w:tcW w:w="1702" w:type="dxa"/>
            <w:tcBorders>
              <w:right w:val="single" w:color="000000" w:sz="6" w:space="0"/>
            </w:tcBorders>
            <w:vAlign w:val="center"/>
          </w:tcPr>
          <w:p w14:paraId="65301CC6">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服务价格</w:t>
            </w:r>
          </w:p>
        </w:tc>
        <w:tc>
          <w:tcPr>
            <w:tcW w:w="4999" w:type="dxa"/>
            <w:tcBorders>
              <w:left w:val="single" w:color="000000" w:sz="6" w:space="0"/>
            </w:tcBorders>
            <w:vAlign w:val="center"/>
          </w:tcPr>
          <w:p w14:paraId="6F2CD57A">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本项目采购控制价不超过10万元/年（含税费、差旅费等一切费用）</w:t>
            </w:r>
          </w:p>
        </w:tc>
      </w:tr>
      <w:tr w14:paraId="2F490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jc w:val="center"/>
        </w:trPr>
        <w:tc>
          <w:tcPr>
            <w:tcW w:w="693" w:type="dxa"/>
            <w:vMerge w:val="continue"/>
            <w:vAlign w:val="center"/>
          </w:tcPr>
          <w:p w14:paraId="7F5C3A76">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p>
        </w:tc>
        <w:tc>
          <w:tcPr>
            <w:tcW w:w="1718" w:type="dxa"/>
            <w:vMerge w:val="continue"/>
            <w:vAlign w:val="center"/>
          </w:tcPr>
          <w:p w14:paraId="7D71D68C">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p>
        </w:tc>
        <w:tc>
          <w:tcPr>
            <w:tcW w:w="1702" w:type="dxa"/>
            <w:tcBorders>
              <w:right w:val="single" w:color="000000" w:sz="6" w:space="0"/>
            </w:tcBorders>
            <w:vAlign w:val="center"/>
          </w:tcPr>
          <w:p w14:paraId="180853CE">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选聘数量</w:t>
            </w:r>
          </w:p>
        </w:tc>
        <w:tc>
          <w:tcPr>
            <w:tcW w:w="4999" w:type="dxa"/>
            <w:tcBorders>
              <w:left w:val="single" w:color="000000" w:sz="6" w:space="0"/>
            </w:tcBorders>
            <w:vAlign w:val="center"/>
          </w:tcPr>
          <w:p w14:paraId="398FA31A">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1家律师事务所（本项目不接受联合体投标）</w:t>
            </w:r>
          </w:p>
        </w:tc>
      </w:tr>
      <w:tr w14:paraId="7E6F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93" w:type="dxa"/>
            <w:vAlign w:val="center"/>
          </w:tcPr>
          <w:p w14:paraId="02823E60">
            <w:pPr>
              <w:keepNext w:val="0"/>
              <w:keepLines w:val="0"/>
              <w:pageBreakBefore w:val="0"/>
              <w:widowControl/>
              <w:numPr>
                <w:ilvl w:val="0"/>
                <w:numId w:val="0"/>
              </w:numPr>
              <w:kinsoku/>
              <w:wordWrap/>
              <w:overflowPunct w:val="0"/>
              <w:topLinePunct w:val="0"/>
              <w:autoSpaceDE/>
              <w:autoSpaceDN/>
              <w:bidi w:val="0"/>
              <w:adjustRightInd/>
              <w:spacing w:beforeAutospacing="0" w:afterAutospacing="0" w:line="460" w:lineRule="exact"/>
              <w:ind w:leftChars="0" w:right="0" w:rightChars="0"/>
              <w:jc w:val="center"/>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p>
        </w:tc>
        <w:tc>
          <w:tcPr>
            <w:tcW w:w="1718" w:type="dxa"/>
            <w:vAlign w:val="center"/>
          </w:tcPr>
          <w:p w14:paraId="59A71345">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项目</w:t>
            </w:r>
            <w:r>
              <w:rPr>
                <w:rFonts w:hint="eastAsia" w:ascii="仿宋_GB2312" w:hAnsi="仿宋_GB2312" w:eastAsia="仿宋_GB2312" w:cs="仿宋_GB2312"/>
                <w:b w:val="0"/>
                <w:bCs w:val="0"/>
                <w:color w:val="auto"/>
                <w:sz w:val="32"/>
                <w:szCs w:val="32"/>
              </w:rPr>
              <w:t>内容</w:t>
            </w:r>
          </w:p>
        </w:tc>
        <w:tc>
          <w:tcPr>
            <w:tcW w:w="6701" w:type="dxa"/>
            <w:gridSpan w:val="2"/>
            <w:vAlign w:val="center"/>
          </w:tcPr>
          <w:p w14:paraId="1D2C84F5">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详见采购公告</w:t>
            </w:r>
          </w:p>
        </w:tc>
      </w:tr>
      <w:tr w14:paraId="049A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93" w:type="dxa"/>
            <w:vAlign w:val="center"/>
          </w:tcPr>
          <w:p w14:paraId="0BE3FB57">
            <w:pPr>
              <w:keepNext w:val="0"/>
              <w:keepLines w:val="0"/>
              <w:pageBreakBefore w:val="0"/>
              <w:widowControl/>
              <w:numPr>
                <w:ilvl w:val="0"/>
                <w:numId w:val="0"/>
              </w:numPr>
              <w:kinsoku/>
              <w:wordWrap/>
              <w:overflowPunct w:val="0"/>
              <w:topLinePunct w:val="0"/>
              <w:autoSpaceDE/>
              <w:autoSpaceDN/>
              <w:bidi w:val="0"/>
              <w:adjustRightInd/>
              <w:spacing w:beforeAutospacing="0" w:afterAutospacing="0" w:line="460" w:lineRule="exact"/>
              <w:ind w:leftChars="0" w:right="0" w:right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p>
        </w:tc>
        <w:tc>
          <w:tcPr>
            <w:tcW w:w="1718" w:type="dxa"/>
            <w:vAlign w:val="center"/>
          </w:tcPr>
          <w:p w14:paraId="3E8B5C7B">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项目要求</w:t>
            </w:r>
          </w:p>
        </w:tc>
        <w:tc>
          <w:tcPr>
            <w:tcW w:w="6701" w:type="dxa"/>
            <w:gridSpan w:val="2"/>
            <w:vAlign w:val="center"/>
          </w:tcPr>
          <w:p w14:paraId="2D025D5F">
            <w:pPr>
              <w:pStyle w:val="51"/>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详见采购公告</w:t>
            </w:r>
          </w:p>
        </w:tc>
      </w:tr>
      <w:tr w14:paraId="4459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93" w:type="dxa"/>
            <w:vMerge w:val="restart"/>
            <w:vAlign w:val="center"/>
          </w:tcPr>
          <w:p w14:paraId="07D60F7B">
            <w:pPr>
              <w:keepNext w:val="0"/>
              <w:keepLines w:val="0"/>
              <w:pageBreakBefore w:val="0"/>
              <w:widowControl/>
              <w:numPr>
                <w:ilvl w:val="0"/>
                <w:numId w:val="0"/>
              </w:numPr>
              <w:kinsoku/>
              <w:wordWrap/>
              <w:overflowPunct w:val="0"/>
              <w:topLinePunct w:val="0"/>
              <w:autoSpaceDE/>
              <w:autoSpaceDN/>
              <w:bidi w:val="0"/>
              <w:adjustRightInd/>
              <w:spacing w:beforeAutospacing="0" w:afterAutospacing="0" w:line="460" w:lineRule="exact"/>
              <w:ind w:leftChars="0" w:right="0" w:rightChars="0"/>
              <w:jc w:val="center"/>
              <w:textAlignment w:val="auto"/>
              <w:rPr>
                <w:rFonts w:hint="default" w:ascii="仿宋_GB2312" w:hAnsi="仿宋_GB2312" w:eastAsia="仿宋_GB2312" w:cs="仿宋_GB2312"/>
                <w:b w:val="0"/>
                <w:bCs w:val="0"/>
                <w:color w:val="auto"/>
                <w:sz w:val="32"/>
                <w:szCs w:val="32"/>
                <w:lang w:val="en-US" w:eastAsia="zh-CN"/>
              </w:rPr>
            </w:pPr>
            <w:bookmarkStart w:id="15" w:name="_Toc81784908"/>
            <w:r>
              <w:rPr>
                <w:rFonts w:hint="eastAsia" w:ascii="仿宋_GB2312" w:hAnsi="仿宋_GB2312" w:eastAsia="仿宋_GB2312" w:cs="仿宋_GB2312"/>
                <w:b w:val="0"/>
                <w:bCs w:val="0"/>
                <w:color w:val="auto"/>
                <w:sz w:val="32"/>
                <w:szCs w:val="32"/>
                <w:lang w:val="en-US" w:eastAsia="zh-CN"/>
              </w:rPr>
              <w:t>4</w:t>
            </w:r>
          </w:p>
        </w:tc>
        <w:tc>
          <w:tcPr>
            <w:tcW w:w="1718" w:type="dxa"/>
            <w:vMerge w:val="restart"/>
            <w:vAlign w:val="center"/>
          </w:tcPr>
          <w:p w14:paraId="70419F24">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比选评审要求</w:t>
            </w:r>
          </w:p>
        </w:tc>
        <w:tc>
          <w:tcPr>
            <w:tcW w:w="1702" w:type="dxa"/>
            <w:tcBorders>
              <w:right w:val="single" w:color="000000" w:sz="6" w:space="0"/>
            </w:tcBorders>
            <w:vAlign w:val="center"/>
          </w:tcPr>
          <w:p w14:paraId="26255369">
            <w:pPr>
              <w:pStyle w:val="13"/>
              <w:keepNext w:val="0"/>
              <w:keepLines w:val="0"/>
              <w:pageBreakBefore w:val="0"/>
              <w:widowControl/>
              <w:numPr>
                <w:ilvl w:val="0"/>
                <w:numId w:val="0"/>
              </w:numPr>
              <w:kinsoku/>
              <w:wordWrap/>
              <w:overflowPunct w:val="0"/>
              <w:topLinePunct w:val="0"/>
              <w:autoSpaceDE/>
              <w:autoSpaceDN/>
              <w:bidi w:val="0"/>
              <w:adjustRightInd/>
              <w:spacing w:beforeAutospacing="0" w:afterAutospacing="0" w:line="460" w:lineRule="exact"/>
              <w:ind w:leftChars="0" w:right="0" w:right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资格审查</w:t>
            </w:r>
          </w:p>
        </w:tc>
        <w:tc>
          <w:tcPr>
            <w:tcW w:w="4999" w:type="dxa"/>
            <w:tcBorders>
              <w:left w:val="single" w:color="000000" w:sz="6" w:space="0"/>
            </w:tcBorders>
            <w:vAlign w:val="center"/>
          </w:tcPr>
          <w:p w14:paraId="0B230E43">
            <w:pPr>
              <w:pStyle w:val="13"/>
              <w:keepNext w:val="0"/>
              <w:keepLines w:val="0"/>
              <w:pageBreakBefore w:val="0"/>
              <w:widowControl/>
              <w:numPr>
                <w:ilvl w:val="0"/>
                <w:numId w:val="0"/>
              </w:numPr>
              <w:kinsoku/>
              <w:wordWrap/>
              <w:overflowPunct w:val="0"/>
              <w:topLinePunct w:val="0"/>
              <w:autoSpaceDE/>
              <w:autoSpaceDN/>
              <w:bidi w:val="0"/>
              <w:adjustRightInd/>
              <w:spacing w:beforeAutospacing="0" w:afterAutospacing="0" w:line="460" w:lineRule="exact"/>
              <w:ind w:leftChars="0" w:right="0" w:rightChars="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评审小组根据比选文件要求，对参选人的资格条件进行审查，只有通过资格审查才能进入综合评审。</w:t>
            </w:r>
          </w:p>
        </w:tc>
      </w:tr>
      <w:tr w14:paraId="2AFEC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693" w:type="dxa"/>
            <w:vMerge w:val="continue"/>
            <w:vAlign w:val="center"/>
          </w:tcPr>
          <w:p w14:paraId="0BBA3195">
            <w:pPr>
              <w:keepNext w:val="0"/>
              <w:keepLines w:val="0"/>
              <w:pageBreakBefore w:val="0"/>
              <w:widowControl/>
              <w:numPr>
                <w:ilvl w:val="0"/>
                <w:numId w:val="0"/>
              </w:numPr>
              <w:kinsoku/>
              <w:wordWrap/>
              <w:overflowPunct w:val="0"/>
              <w:topLinePunct w:val="0"/>
              <w:autoSpaceDE/>
              <w:autoSpaceDN/>
              <w:bidi w:val="0"/>
              <w:adjustRightInd/>
              <w:spacing w:beforeAutospacing="0" w:afterAutospacing="0" w:line="460" w:lineRule="exact"/>
              <w:ind w:leftChars="0" w:right="0" w:rightChars="0"/>
              <w:jc w:val="center"/>
              <w:textAlignment w:val="auto"/>
              <w:rPr>
                <w:rFonts w:hint="eastAsia" w:ascii="仿宋_GB2312" w:hAnsi="仿宋_GB2312" w:eastAsia="仿宋_GB2312" w:cs="仿宋_GB2312"/>
                <w:b w:val="0"/>
                <w:bCs w:val="0"/>
                <w:color w:val="auto"/>
                <w:sz w:val="32"/>
                <w:szCs w:val="32"/>
                <w:lang w:val="en-US" w:eastAsia="zh-CN"/>
              </w:rPr>
            </w:pPr>
          </w:p>
        </w:tc>
        <w:tc>
          <w:tcPr>
            <w:tcW w:w="1718" w:type="dxa"/>
            <w:vMerge w:val="continue"/>
            <w:vAlign w:val="center"/>
          </w:tcPr>
          <w:p w14:paraId="346298A4">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lang w:val="en-US" w:eastAsia="zh-CN"/>
              </w:rPr>
            </w:pPr>
          </w:p>
        </w:tc>
        <w:tc>
          <w:tcPr>
            <w:tcW w:w="1702" w:type="dxa"/>
            <w:tcBorders>
              <w:right w:val="single" w:color="000000" w:sz="6" w:space="0"/>
            </w:tcBorders>
            <w:vAlign w:val="center"/>
          </w:tcPr>
          <w:p w14:paraId="7DFA5CC6">
            <w:pPr>
              <w:pStyle w:val="13"/>
              <w:keepNext w:val="0"/>
              <w:keepLines w:val="0"/>
              <w:pageBreakBefore w:val="0"/>
              <w:widowControl/>
              <w:numPr>
                <w:ilvl w:val="0"/>
                <w:numId w:val="0"/>
              </w:numPr>
              <w:kinsoku/>
              <w:wordWrap/>
              <w:overflowPunct w:val="0"/>
              <w:topLinePunct w:val="0"/>
              <w:autoSpaceDE/>
              <w:autoSpaceDN/>
              <w:bidi w:val="0"/>
              <w:adjustRightInd/>
              <w:spacing w:beforeAutospacing="0" w:afterAutospacing="0" w:line="460" w:lineRule="exact"/>
              <w:ind w:leftChars="0" w:right="0" w:rightChars="0"/>
              <w:jc w:val="center"/>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综合</w:t>
            </w:r>
            <w:r>
              <w:rPr>
                <w:rFonts w:hint="eastAsia" w:ascii="仿宋_GB2312" w:hAnsi="仿宋_GB2312" w:eastAsia="仿宋_GB2312" w:cs="仿宋_GB2312"/>
                <w:b w:val="0"/>
                <w:bCs w:val="0"/>
                <w:color w:val="auto"/>
                <w:sz w:val="32"/>
                <w:szCs w:val="32"/>
                <w:lang w:eastAsia="zh-CN"/>
              </w:rPr>
              <w:t>评审</w:t>
            </w:r>
          </w:p>
        </w:tc>
        <w:tc>
          <w:tcPr>
            <w:tcW w:w="4999" w:type="dxa"/>
            <w:tcBorders>
              <w:left w:val="single" w:color="000000" w:sz="6" w:space="0"/>
            </w:tcBorders>
            <w:vAlign w:val="center"/>
          </w:tcPr>
          <w:p w14:paraId="26F4D8C2">
            <w:pPr>
              <w:pStyle w:val="13"/>
              <w:keepNext w:val="0"/>
              <w:keepLines w:val="0"/>
              <w:pageBreakBefore w:val="0"/>
              <w:widowControl/>
              <w:numPr>
                <w:ilvl w:val="0"/>
                <w:numId w:val="0"/>
              </w:numPr>
              <w:kinsoku/>
              <w:wordWrap/>
              <w:overflowPunct w:val="0"/>
              <w:topLinePunct w:val="0"/>
              <w:autoSpaceDE/>
              <w:autoSpaceDN/>
              <w:bidi w:val="0"/>
              <w:adjustRightInd/>
              <w:spacing w:beforeAutospacing="0" w:afterAutospacing="0" w:line="460" w:lineRule="exact"/>
              <w:ind w:leftChars="0" w:right="0" w:rightChars="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采用综合评分法，评审小组根据比选文件量化因素、分值要求，对参选文件的内容进行综合评价打分并计算出综合得分。</w:t>
            </w:r>
          </w:p>
        </w:tc>
      </w:tr>
    </w:tbl>
    <w:p w14:paraId="301EBB3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343CBAC6">
      <w:pPr>
        <w:keepNext w:val="0"/>
        <w:keepLines w:val="0"/>
        <w:pageBreakBefore w:val="0"/>
        <w:widowControl/>
        <w:kinsoku/>
        <w:wordWrap/>
        <w:overflowPunct w:val="0"/>
        <w:topLinePunct w:val="0"/>
        <w:autoSpaceDE/>
        <w:autoSpaceDN/>
        <w:bidi w:val="0"/>
        <w:adjustRightInd/>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val="en-US" w:eastAsia="zh-CN"/>
        </w:rPr>
        <w:t>二、比选文件</w:t>
      </w:r>
      <w:bookmarkEnd w:id="15"/>
    </w:p>
    <w:p w14:paraId="157B41A7">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lang w:val="en-US" w:eastAsia="zh-CN"/>
        </w:rPr>
        <w:t>. 比选</w:t>
      </w:r>
      <w:r>
        <w:rPr>
          <w:rFonts w:hint="eastAsia" w:ascii="仿宋_GB2312" w:hAnsi="仿宋_GB2312" w:eastAsia="仿宋_GB2312" w:cs="仿宋_GB2312"/>
          <w:b/>
          <w:bCs/>
          <w:color w:val="auto"/>
          <w:sz w:val="32"/>
          <w:szCs w:val="32"/>
        </w:rPr>
        <w:t>文件的组成</w:t>
      </w:r>
    </w:p>
    <w:p w14:paraId="7DBD07ED">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w:t>
      </w:r>
      <w:r>
        <w:rPr>
          <w:rFonts w:hint="eastAsia" w:ascii="仿宋_GB2312" w:hAnsi="仿宋_GB2312" w:eastAsia="仿宋_GB2312" w:cs="仿宋_GB2312"/>
          <w:color w:val="auto"/>
          <w:sz w:val="32"/>
          <w:szCs w:val="32"/>
          <w:lang w:val="en-US" w:eastAsia="zh-CN"/>
        </w:rPr>
        <w:t xml:space="preserve"> 比选</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val="en-US" w:eastAsia="zh-CN"/>
        </w:rPr>
        <w:t>主要</w:t>
      </w:r>
      <w:r>
        <w:rPr>
          <w:rFonts w:hint="eastAsia" w:ascii="仿宋_GB2312" w:hAnsi="仿宋_GB2312" w:eastAsia="仿宋_GB2312" w:cs="仿宋_GB2312"/>
          <w:color w:val="auto"/>
          <w:sz w:val="32"/>
          <w:szCs w:val="32"/>
        </w:rPr>
        <w:t>包括下列内容：</w:t>
      </w:r>
    </w:p>
    <w:p w14:paraId="60F5AE3F">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val="en-US" w:eastAsia="zh-CN"/>
        </w:rPr>
        <w:t>采购</w:t>
      </w:r>
      <w:r>
        <w:rPr>
          <w:rFonts w:hint="eastAsia" w:ascii="仿宋_GB2312" w:hAnsi="仿宋_GB2312" w:eastAsia="仿宋_GB2312" w:cs="仿宋_GB2312"/>
          <w:color w:val="auto"/>
          <w:sz w:val="32"/>
          <w:szCs w:val="32"/>
        </w:rPr>
        <w:t>公告</w:t>
      </w:r>
    </w:p>
    <w:p w14:paraId="44DAA55C">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须知</w:t>
      </w:r>
    </w:p>
    <w:p w14:paraId="1A788E48">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val="en-US" w:eastAsia="zh-CN"/>
        </w:rPr>
        <w:t>评审办法</w:t>
      </w:r>
    </w:p>
    <w:p w14:paraId="24756C32">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合同文本</w:t>
      </w:r>
    </w:p>
    <w:p w14:paraId="7B67F144">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文件格式</w:t>
      </w:r>
    </w:p>
    <w:p w14:paraId="59FB8423">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lang w:val="en-US" w:eastAsia="zh-CN"/>
        </w:rPr>
        <w:t xml:space="preserve"> 参选</w:t>
      </w:r>
      <w:r>
        <w:rPr>
          <w:rFonts w:hint="eastAsia" w:ascii="仿宋_GB2312" w:hAnsi="仿宋_GB2312" w:eastAsia="仿宋_GB2312" w:cs="仿宋_GB2312"/>
          <w:color w:val="auto"/>
          <w:sz w:val="32"/>
          <w:szCs w:val="32"/>
        </w:rPr>
        <w:t>人应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认真</w:t>
      </w:r>
      <w:r>
        <w:rPr>
          <w:rFonts w:hint="eastAsia" w:ascii="仿宋_GB2312" w:hAnsi="仿宋_GB2312" w:eastAsia="仿宋_GB2312" w:cs="仿宋_GB2312"/>
          <w:color w:val="auto"/>
          <w:sz w:val="32"/>
          <w:szCs w:val="32"/>
          <w:lang w:val="en-US" w:eastAsia="zh-CN"/>
        </w:rPr>
        <w:t>阅读理解比选</w:t>
      </w:r>
      <w:r>
        <w:rPr>
          <w:rFonts w:hint="eastAsia" w:ascii="仿宋_GB2312" w:hAnsi="仿宋_GB2312" w:eastAsia="仿宋_GB2312" w:cs="仿宋_GB2312"/>
          <w:color w:val="auto"/>
          <w:sz w:val="32"/>
          <w:szCs w:val="32"/>
        </w:rPr>
        <w:t>文件的规定和要求，按</w:t>
      </w:r>
      <w:r>
        <w:rPr>
          <w:rFonts w:hint="eastAsia" w:ascii="仿宋_GB2312" w:hAnsi="仿宋_GB2312" w:eastAsia="仿宋_GB2312" w:cs="仿宋_GB2312"/>
          <w:color w:val="auto"/>
          <w:sz w:val="32"/>
          <w:szCs w:val="32"/>
          <w:lang w:val="en-US" w:eastAsia="zh-CN"/>
        </w:rPr>
        <w:t>照比选</w:t>
      </w:r>
      <w:r>
        <w:rPr>
          <w:rFonts w:hint="eastAsia" w:ascii="仿宋_GB2312" w:hAnsi="仿宋_GB2312" w:eastAsia="仿宋_GB2312" w:cs="仿宋_GB2312"/>
          <w:color w:val="auto"/>
          <w:sz w:val="32"/>
          <w:szCs w:val="32"/>
        </w:rPr>
        <w:t>文件的规定和要求编写</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文件不符合</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文件的规定</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要求</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有可能导致废选，参选</w:t>
      </w:r>
      <w:r>
        <w:rPr>
          <w:rFonts w:hint="eastAsia" w:ascii="仿宋_GB2312" w:hAnsi="仿宋_GB2312" w:eastAsia="仿宋_GB2312" w:cs="仿宋_GB2312"/>
          <w:color w:val="auto"/>
          <w:sz w:val="32"/>
          <w:szCs w:val="32"/>
        </w:rPr>
        <w:t>人自行</w:t>
      </w:r>
      <w:r>
        <w:rPr>
          <w:rFonts w:hint="eastAsia" w:ascii="仿宋_GB2312" w:hAnsi="仿宋_GB2312" w:eastAsia="仿宋_GB2312" w:cs="仿宋_GB2312"/>
          <w:color w:val="auto"/>
          <w:sz w:val="32"/>
          <w:szCs w:val="32"/>
          <w:lang w:val="en-US" w:eastAsia="zh-CN"/>
        </w:rPr>
        <w:t>承担不利后果</w:t>
      </w:r>
      <w:r>
        <w:rPr>
          <w:rFonts w:hint="eastAsia" w:ascii="仿宋_GB2312" w:hAnsi="仿宋_GB2312" w:eastAsia="仿宋_GB2312" w:cs="仿宋_GB2312"/>
          <w:color w:val="auto"/>
          <w:sz w:val="32"/>
          <w:szCs w:val="32"/>
        </w:rPr>
        <w:t>。</w:t>
      </w:r>
    </w:p>
    <w:p w14:paraId="1EA42D48">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w:t>
      </w:r>
      <w:r>
        <w:rPr>
          <w:rFonts w:hint="eastAsia" w:ascii="仿宋_GB2312" w:hAnsi="仿宋_GB2312" w:eastAsia="仿宋_GB2312" w:cs="仿宋_GB2312"/>
          <w:color w:val="auto"/>
          <w:sz w:val="32"/>
          <w:szCs w:val="32"/>
          <w:lang w:val="en-US" w:eastAsia="zh-CN"/>
        </w:rPr>
        <w:t xml:space="preserve"> 参选</w:t>
      </w:r>
      <w:r>
        <w:rPr>
          <w:rFonts w:hint="eastAsia" w:ascii="仿宋_GB2312" w:hAnsi="仿宋_GB2312" w:eastAsia="仿宋_GB2312" w:cs="仿宋_GB2312"/>
          <w:color w:val="auto"/>
          <w:sz w:val="32"/>
          <w:szCs w:val="32"/>
        </w:rPr>
        <w:t>人应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认真</w:t>
      </w:r>
      <w:r>
        <w:rPr>
          <w:rFonts w:hint="eastAsia" w:ascii="仿宋_GB2312" w:hAnsi="仿宋_GB2312" w:eastAsia="仿宋_GB2312" w:cs="仿宋_GB2312"/>
          <w:color w:val="auto"/>
          <w:sz w:val="32"/>
          <w:szCs w:val="32"/>
          <w:lang w:val="en-US" w:eastAsia="zh-CN"/>
        </w:rPr>
        <w:t>阅读理解比选</w:t>
      </w:r>
      <w:r>
        <w:rPr>
          <w:rFonts w:hint="eastAsia" w:ascii="仿宋_GB2312" w:hAnsi="仿宋_GB2312" w:eastAsia="仿宋_GB2312" w:cs="仿宋_GB2312"/>
          <w:color w:val="auto"/>
          <w:sz w:val="32"/>
          <w:szCs w:val="32"/>
        </w:rPr>
        <w:t>文件的规定和要求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文件是否</w:t>
      </w:r>
      <w:r>
        <w:rPr>
          <w:rFonts w:hint="eastAsia" w:ascii="仿宋_GB2312" w:hAnsi="仿宋_GB2312" w:eastAsia="仿宋_GB2312" w:cs="仿宋_GB2312"/>
          <w:color w:val="auto"/>
          <w:sz w:val="32"/>
          <w:szCs w:val="32"/>
          <w:lang w:val="en-US" w:eastAsia="zh-CN"/>
        </w:rPr>
        <w:t>准确、</w:t>
      </w:r>
      <w:r>
        <w:rPr>
          <w:rFonts w:hint="eastAsia" w:ascii="仿宋_GB2312" w:hAnsi="仿宋_GB2312" w:eastAsia="仿宋_GB2312" w:cs="仿宋_GB2312"/>
          <w:color w:val="auto"/>
          <w:sz w:val="32"/>
          <w:szCs w:val="32"/>
        </w:rPr>
        <w:t>完整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若发现</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val="en-US" w:eastAsia="zh-CN"/>
        </w:rPr>
        <w:t>不清晰、</w:t>
      </w:r>
      <w:r>
        <w:rPr>
          <w:rFonts w:hint="eastAsia" w:ascii="仿宋_GB2312" w:hAnsi="仿宋_GB2312" w:eastAsia="仿宋_GB2312" w:cs="仿宋_GB2312"/>
          <w:color w:val="auto"/>
          <w:sz w:val="32"/>
          <w:szCs w:val="32"/>
        </w:rPr>
        <w:t>缺页或不全时，应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及时向</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提出，以便</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补</w:t>
      </w:r>
      <w:r>
        <w:rPr>
          <w:rFonts w:hint="eastAsia" w:ascii="仿宋_GB2312" w:hAnsi="仿宋_GB2312" w:eastAsia="仿宋_GB2312" w:cs="仿宋_GB2312"/>
          <w:color w:val="auto"/>
          <w:sz w:val="32"/>
          <w:szCs w:val="32"/>
          <w:lang w:val="en-US" w:eastAsia="zh-CN"/>
        </w:rPr>
        <w:t>正</w:t>
      </w:r>
      <w:r>
        <w:rPr>
          <w:rFonts w:hint="eastAsia" w:ascii="仿宋_GB2312" w:hAnsi="仿宋_GB2312" w:eastAsia="仿宋_GB2312" w:cs="仿宋_GB2312"/>
          <w:color w:val="auto"/>
          <w:sz w:val="32"/>
          <w:szCs w:val="32"/>
        </w:rPr>
        <w:t>。</w:t>
      </w:r>
    </w:p>
    <w:p w14:paraId="7315AD7F">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w:t>
      </w:r>
      <w:r>
        <w:rPr>
          <w:rFonts w:hint="eastAsia" w:ascii="仿宋_GB2312" w:hAnsi="仿宋_GB2312" w:eastAsia="仿宋_GB2312" w:cs="仿宋_GB2312"/>
          <w:b/>
          <w:bCs/>
          <w:color w:val="auto"/>
          <w:sz w:val="32"/>
          <w:szCs w:val="32"/>
          <w:lang w:val="en-US" w:eastAsia="zh-CN"/>
        </w:rPr>
        <w:t>. 比选</w:t>
      </w:r>
      <w:r>
        <w:rPr>
          <w:rFonts w:hint="eastAsia" w:ascii="仿宋_GB2312" w:hAnsi="仿宋_GB2312" w:eastAsia="仿宋_GB2312" w:cs="仿宋_GB2312"/>
          <w:b/>
          <w:bCs/>
          <w:color w:val="auto"/>
          <w:sz w:val="32"/>
          <w:szCs w:val="32"/>
        </w:rPr>
        <w:t>文件的澄清与解答</w:t>
      </w:r>
    </w:p>
    <w:p w14:paraId="0088F96A">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w:t>
      </w:r>
      <w:r>
        <w:rPr>
          <w:rFonts w:hint="eastAsia" w:ascii="仿宋_GB2312" w:hAnsi="仿宋_GB2312" w:eastAsia="仿宋_GB2312" w:cs="仿宋_GB2312"/>
          <w:color w:val="auto"/>
          <w:sz w:val="32"/>
          <w:szCs w:val="32"/>
          <w:lang w:val="en-US" w:eastAsia="zh-CN"/>
        </w:rPr>
        <w:t xml:space="preserve"> 参选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请求对比选文件进行必要的澄清或修改的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可以在获取比选</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val="en-US" w:eastAsia="zh-CN"/>
        </w:rPr>
        <w:t>后3日</w:t>
      </w:r>
      <w:r>
        <w:rPr>
          <w:rFonts w:hint="eastAsia" w:ascii="仿宋_GB2312" w:hAnsi="仿宋_GB2312" w:eastAsia="仿宋_GB2312" w:cs="仿宋_GB2312"/>
          <w:color w:val="auto"/>
          <w:sz w:val="32"/>
          <w:szCs w:val="32"/>
        </w:rPr>
        <w:t>内</w:t>
      </w:r>
      <w:r>
        <w:rPr>
          <w:rFonts w:hint="eastAsia" w:ascii="仿宋_GB2312" w:hAnsi="仿宋_GB2312" w:eastAsia="仿宋_GB2312" w:cs="仿宋_GB2312"/>
          <w:color w:val="auto"/>
          <w:sz w:val="32"/>
          <w:szCs w:val="32"/>
          <w:lang w:val="en-US" w:eastAsia="zh-CN"/>
        </w:rPr>
        <w:t>或参选截止时间至少1日前</w:t>
      </w:r>
      <w:r>
        <w:rPr>
          <w:rFonts w:hint="eastAsia" w:ascii="仿宋_GB2312" w:hAnsi="仿宋_GB2312" w:eastAsia="仿宋_GB2312" w:cs="仿宋_GB2312"/>
          <w:color w:val="auto"/>
          <w:sz w:val="32"/>
          <w:szCs w:val="32"/>
        </w:rPr>
        <w:t>，以书面形式向</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提交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公司经审查认为可能影响参选文件编制的，将在收到书面意见后3日</w:t>
      </w:r>
      <w:r>
        <w:rPr>
          <w:rFonts w:hint="eastAsia" w:ascii="仿宋_GB2312" w:hAnsi="仿宋_GB2312" w:eastAsia="仿宋_GB2312" w:cs="仿宋_GB2312"/>
          <w:color w:val="auto"/>
          <w:sz w:val="32"/>
          <w:szCs w:val="32"/>
        </w:rPr>
        <w:t>内</w:t>
      </w:r>
      <w:r>
        <w:rPr>
          <w:rFonts w:hint="eastAsia" w:ascii="仿宋_GB2312" w:hAnsi="仿宋_GB2312" w:eastAsia="仿宋_GB2312" w:cs="仿宋_GB2312"/>
          <w:color w:val="auto"/>
          <w:sz w:val="32"/>
          <w:szCs w:val="32"/>
          <w:lang w:val="en-US" w:eastAsia="zh-CN"/>
        </w:rPr>
        <w:t>或参选截止时间至少1日前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以编号补</w:t>
      </w:r>
      <w:r>
        <w:rPr>
          <w:rFonts w:hint="eastAsia" w:ascii="仿宋_GB2312" w:hAnsi="仿宋_GB2312" w:eastAsia="仿宋_GB2312" w:cs="仿宋_GB2312"/>
          <w:color w:val="auto"/>
          <w:sz w:val="32"/>
          <w:szCs w:val="32"/>
          <w:lang w:val="en-US" w:eastAsia="zh-CN"/>
        </w:rPr>
        <w:t>正通知书的</w:t>
      </w:r>
      <w:r>
        <w:rPr>
          <w:rFonts w:hint="eastAsia" w:ascii="仿宋_GB2312" w:hAnsi="仿宋_GB2312" w:eastAsia="仿宋_GB2312" w:cs="仿宋_GB2312"/>
          <w:color w:val="auto"/>
          <w:sz w:val="32"/>
          <w:szCs w:val="32"/>
        </w:rPr>
        <w:t>形式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在海南联合资产管理有限公司网站（http://www.hnlhzc.com/）公告补正</w:t>
      </w:r>
      <w:r>
        <w:rPr>
          <w:rFonts w:hint="eastAsia" w:ascii="仿宋_GB2312" w:hAnsi="仿宋_GB2312" w:eastAsia="仿宋_GB2312" w:cs="仿宋_GB2312"/>
          <w:color w:val="auto"/>
          <w:sz w:val="32"/>
          <w:szCs w:val="32"/>
        </w:rPr>
        <w:t>。</w:t>
      </w:r>
    </w:p>
    <w:p w14:paraId="766D7728">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w:t>
      </w:r>
      <w:r>
        <w:rPr>
          <w:rFonts w:hint="eastAsia" w:ascii="仿宋_GB2312" w:hAnsi="仿宋_GB2312" w:eastAsia="仿宋_GB2312" w:cs="仿宋_GB2312"/>
          <w:color w:val="auto"/>
          <w:sz w:val="32"/>
          <w:szCs w:val="32"/>
          <w:lang w:val="en-US" w:eastAsia="zh-CN"/>
        </w:rPr>
        <w:t xml:space="preserve"> 公司</w:t>
      </w:r>
      <w:r>
        <w:rPr>
          <w:rFonts w:hint="eastAsia" w:ascii="仿宋_GB2312" w:hAnsi="仿宋_GB2312" w:eastAsia="仿宋_GB2312" w:cs="仿宋_GB2312"/>
          <w:color w:val="auto"/>
          <w:sz w:val="32"/>
          <w:szCs w:val="32"/>
        </w:rPr>
        <w:t>以书面形式发出对</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文件的澄清或修改内容，均为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文件的组成部分，对</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具有</w:t>
      </w:r>
      <w:r>
        <w:rPr>
          <w:rFonts w:hint="eastAsia" w:ascii="仿宋_GB2312" w:hAnsi="仿宋_GB2312" w:eastAsia="仿宋_GB2312" w:cs="仿宋_GB2312"/>
          <w:color w:val="auto"/>
          <w:sz w:val="32"/>
          <w:szCs w:val="32"/>
        </w:rPr>
        <w:t>约束作用。</w:t>
      </w:r>
    </w:p>
    <w:p w14:paraId="5E158FC2">
      <w:pPr>
        <w:keepNext w:val="0"/>
        <w:keepLines w:val="0"/>
        <w:pageBreakBefore w:val="0"/>
        <w:widowControl/>
        <w:kinsoku/>
        <w:wordWrap/>
        <w:overflowPunct w:val="0"/>
        <w:topLinePunct w:val="0"/>
        <w:autoSpaceDE/>
        <w:autoSpaceDN/>
        <w:bidi w:val="0"/>
        <w:adjustRightInd/>
        <w:spacing w:beforeAutospacing="0" w:afterAutospacing="0" w:line="560" w:lineRule="exact"/>
        <w:ind w:left="0" w:right="0" w:firstLine="640" w:firstLineChars="200"/>
        <w:jc w:val="both"/>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二、参选文件</w:t>
      </w:r>
    </w:p>
    <w:p w14:paraId="655311EB">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lang w:val="en-US" w:eastAsia="zh-CN"/>
        </w:rPr>
        <w:t>. 参选</w:t>
      </w:r>
      <w:r>
        <w:rPr>
          <w:rFonts w:hint="eastAsia" w:ascii="仿宋_GB2312" w:hAnsi="仿宋_GB2312" w:eastAsia="仿宋_GB2312" w:cs="仿宋_GB2312"/>
          <w:b/>
          <w:bCs/>
          <w:color w:val="auto"/>
          <w:sz w:val="32"/>
          <w:szCs w:val="32"/>
        </w:rPr>
        <w:t>文件的</w:t>
      </w:r>
      <w:r>
        <w:rPr>
          <w:rFonts w:hint="eastAsia" w:ascii="仿宋_GB2312" w:hAnsi="仿宋_GB2312" w:eastAsia="仿宋_GB2312" w:cs="仿宋_GB2312"/>
          <w:b/>
          <w:bCs/>
          <w:color w:val="auto"/>
          <w:sz w:val="32"/>
          <w:szCs w:val="32"/>
          <w:lang w:val="en-US" w:eastAsia="zh-CN"/>
        </w:rPr>
        <w:t>文字、</w:t>
      </w:r>
      <w:r>
        <w:rPr>
          <w:rFonts w:hint="eastAsia" w:ascii="仿宋_GB2312" w:hAnsi="仿宋_GB2312" w:eastAsia="仿宋_GB2312" w:cs="仿宋_GB2312"/>
          <w:b/>
          <w:bCs/>
          <w:color w:val="auto"/>
          <w:sz w:val="32"/>
          <w:szCs w:val="32"/>
        </w:rPr>
        <w:t>度量衡单位</w:t>
      </w:r>
    </w:p>
    <w:p w14:paraId="75016FB6">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1.1</w:t>
      </w:r>
      <w:r>
        <w:rPr>
          <w:rFonts w:hint="eastAsia" w:ascii="仿宋_GB2312" w:hAnsi="仿宋_GB2312" w:eastAsia="仿宋_GB2312" w:cs="仿宋_GB2312"/>
          <w:b w:val="0"/>
          <w:bCs w:val="0"/>
          <w:color w:val="auto"/>
          <w:sz w:val="32"/>
          <w:szCs w:val="32"/>
          <w:lang w:val="en-US" w:eastAsia="zh-CN"/>
        </w:rPr>
        <w:t xml:space="preserve"> 参选</w:t>
      </w:r>
      <w:r>
        <w:rPr>
          <w:rFonts w:hint="eastAsia" w:ascii="仿宋_GB2312" w:hAnsi="仿宋_GB2312" w:eastAsia="仿宋_GB2312" w:cs="仿宋_GB2312"/>
          <w:b w:val="0"/>
          <w:bCs w:val="0"/>
          <w:color w:val="auto"/>
          <w:sz w:val="32"/>
          <w:szCs w:val="32"/>
        </w:rPr>
        <w:t>文件</w:t>
      </w:r>
      <w:r>
        <w:rPr>
          <w:rFonts w:hint="eastAsia" w:ascii="仿宋_GB2312" w:hAnsi="仿宋_GB2312" w:eastAsia="仿宋_GB2312" w:cs="仿宋_GB2312"/>
          <w:b w:val="0"/>
          <w:bCs w:val="0"/>
          <w:color w:val="auto"/>
          <w:sz w:val="32"/>
          <w:szCs w:val="32"/>
          <w:lang w:val="en-US" w:eastAsia="zh-CN"/>
        </w:rPr>
        <w:t>应当</w:t>
      </w:r>
      <w:r>
        <w:rPr>
          <w:rFonts w:hint="eastAsia" w:ascii="仿宋_GB2312" w:hAnsi="仿宋_GB2312" w:eastAsia="仿宋_GB2312" w:cs="仿宋_GB2312"/>
          <w:b w:val="0"/>
          <w:bCs w:val="0"/>
          <w:color w:val="auto"/>
          <w:sz w:val="32"/>
          <w:szCs w:val="32"/>
        </w:rPr>
        <w:t>使用</w:t>
      </w:r>
      <w:r>
        <w:rPr>
          <w:rFonts w:hint="eastAsia" w:ascii="仿宋_GB2312" w:hAnsi="仿宋_GB2312" w:eastAsia="仿宋_GB2312" w:cs="仿宋_GB2312"/>
          <w:b w:val="0"/>
          <w:bCs w:val="0"/>
          <w:color w:val="auto"/>
          <w:sz w:val="32"/>
          <w:szCs w:val="32"/>
          <w:lang w:val="en-US" w:eastAsia="zh-CN"/>
        </w:rPr>
        <w:t>中文；</w:t>
      </w:r>
      <w:r>
        <w:rPr>
          <w:rFonts w:hint="eastAsia" w:ascii="仿宋_GB2312" w:hAnsi="仿宋_GB2312" w:eastAsia="仿宋_GB2312" w:cs="仿宋_GB2312"/>
          <w:b w:val="0"/>
          <w:bCs w:val="0"/>
          <w:color w:val="auto"/>
          <w:sz w:val="32"/>
          <w:szCs w:val="32"/>
        </w:rPr>
        <w:t>对不同文字文本</w:t>
      </w:r>
      <w:r>
        <w:rPr>
          <w:rFonts w:hint="eastAsia" w:ascii="仿宋_GB2312" w:hAnsi="仿宋_GB2312" w:eastAsia="仿宋_GB2312" w:cs="仿宋_GB2312"/>
          <w:b w:val="0"/>
          <w:bCs w:val="0"/>
          <w:color w:val="auto"/>
          <w:sz w:val="32"/>
          <w:szCs w:val="32"/>
          <w:lang w:val="en-US" w:eastAsia="zh-CN"/>
        </w:rPr>
        <w:t>的参选</w:t>
      </w:r>
      <w:r>
        <w:rPr>
          <w:rFonts w:hint="eastAsia" w:ascii="仿宋_GB2312" w:hAnsi="仿宋_GB2312" w:eastAsia="仿宋_GB2312" w:cs="仿宋_GB2312"/>
          <w:b w:val="0"/>
          <w:bCs w:val="0"/>
          <w:color w:val="auto"/>
          <w:sz w:val="32"/>
          <w:szCs w:val="32"/>
        </w:rPr>
        <w:t>文件</w:t>
      </w:r>
      <w:r>
        <w:rPr>
          <w:rFonts w:hint="eastAsia" w:ascii="仿宋_GB2312" w:hAnsi="仿宋_GB2312" w:eastAsia="仿宋_GB2312" w:cs="仿宋_GB2312"/>
          <w:b w:val="0"/>
          <w:bCs w:val="0"/>
          <w:color w:val="auto"/>
          <w:sz w:val="32"/>
          <w:szCs w:val="32"/>
          <w:lang w:val="en-US" w:eastAsia="zh-CN"/>
        </w:rPr>
        <w:t>进行</w:t>
      </w:r>
      <w:r>
        <w:rPr>
          <w:rFonts w:hint="eastAsia" w:ascii="仿宋_GB2312" w:hAnsi="仿宋_GB2312" w:eastAsia="仿宋_GB2312" w:cs="仿宋_GB2312"/>
          <w:b w:val="0"/>
          <w:bCs w:val="0"/>
          <w:color w:val="auto"/>
          <w:sz w:val="32"/>
          <w:szCs w:val="32"/>
        </w:rPr>
        <w:t>解释</w:t>
      </w:r>
      <w:r>
        <w:rPr>
          <w:rFonts w:hint="eastAsia" w:ascii="仿宋_GB2312" w:hAnsi="仿宋_GB2312" w:eastAsia="仿宋_GB2312" w:cs="仿宋_GB2312"/>
          <w:b w:val="0"/>
          <w:bCs w:val="0"/>
          <w:color w:val="auto"/>
          <w:sz w:val="32"/>
          <w:szCs w:val="32"/>
          <w:lang w:val="en-US" w:eastAsia="zh-CN"/>
        </w:rPr>
        <w:t>产</w:t>
      </w:r>
      <w:r>
        <w:rPr>
          <w:rFonts w:hint="eastAsia" w:ascii="仿宋_GB2312" w:hAnsi="仿宋_GB2312" w:eastAsia="仿宋_GB2312" w:cs="仿宋_GB2312"/>
          <w:b w:val="0"/>
          <w:bCs w:val="0"/>
          <w:color w:val="auto"/>
          <w:sz w:val="32"/>
          <w:szCs w:val="32"/>
        </w:rPr>
        <w:t>生异议的，以中文文本为准。</w:t>
      </w:r>
    </w:p>
    <w:p w14:paraId="3E468319">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1.2 参选</w:t>
      </w:r>
      <w:r>
        <w:rPr>
          <w:rFonts w:hint="eastAsia" w:ascii="仿宋_GB2312" w:hAnsi="仿宋_GB2312" w:eastAsia="仿宋_GB2312" w:cs="仿宋_GB2312"/>
          <w:b w:val="0"/>
          <w:bCs w:val="0"/>
          <w:color w:val="auto"/>
          <w:sz w:val="32"/>
          <w:szCs w:val="32"/>
        </w:rPr>
        <w:t>文件中</w:t>
      </w:r>
      <w:r>
        <w:rPr>
          <w:rFonts w:hint="eastAsia" w:ascii="仿宋_GB2312" w:hAnsi="仿宋_GB2312" w:eastAsia="仿宋_GB2312" w:cs="仿宋_GB2312"/>
          <w:b w:val="0"/>
          <w:bCs w:val="0"/>
          <w:color w:val="auto"/>
          <w:sz w:val="32"/>
          <w:szCs w:val="32"/>
          <w:lang w:val="en-US" w:eastAsia="zh-CN"/>
        </w:rPr>
        <w:t>货币</w:t>
      </w:r>
      <w:r>
        <w:rPr>
          <w:rFonts w:hint="eastAsia" w:ascii="仿宋_GB2312" w:hAnsi="仿宋_GB2312" w:eastAsia="仿宋_GB2312" w:cs="仿宋_GB2312"/>
          <w:b w:val="0"/>
          <w:bCs w:val="0"/>
          <w:color w:val="auto"/>
          <w:sz w:val="32"/>
          <w:szCs w:val="32"/>
        </w:rPr>
        <w:t>大写金额和小写金额不一致的，以大写金额为准。</w:t>
      </w:r>
    </w:p>
    <w:p w14:paraId="4072FDC6">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 xml:space="preserve">3 </w:t>
      </w:r>
      <w:r>
        <w:rPr>
          <w:rFonts w:hint="eastAsia" w:ascii="仿宋_GB2312" w:hAnsi="仿宋_GB2312" w:eastAsia="仿宋_GB2312" w:cs="仿宋_GB2312"/>
          <w:b w:val="0"/>
          <w:bCs w:val="0"/>
          <w:color w:val="auto"/>
          <w:sz w:val="32"/>
          <w:szCs w:val="32"/>
          <w:lang w:val="en-US" w:eastAsia="zh-CN"/>
        </w:rPr>
        <w:t>参选</w:t>
      </w:r>
      <w:r>
        <w:rPr>
          <w:rFonts w:hint="eastAsia" w:ascii="仿宋_GB2312" w:hAnsi="仿宋_GB2312" w:eastAsia="仿宋_GB2312" w:cs="仿宋_GB2312"/>
          <w:color w:val="auto"/>
          <w:sz w:val="32"/>
          <w:szCs w:val="32"/>
        </w:rPr>
        <w:t>文件使用的度量衡单位，均</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采用中华人民共和国法定计量单位。</w:t>
      </w:r>
    </w:p>
    <w:p w14:paraId="1AC306FA">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w:t>
      </w:r>
      <w:r>
        <w:rPr>
          <w:rFonts w:hint="eastAsia" w:ascii="仿宋_GB2312" w:hAnsi="仿宋_GB2312" w:eastAsia="仿宋_GB2312" w:cs="仿宋_GB2312"/>
          <w:b/>
          <w:bCs/>
          <w:color w:val="auto"/>
          <w:sz w:val="32"/>
          <w:szCs w:val="32"/>
          <w:lang w:val="en-US" w:eastAsia="zh-CN"/>
        </w:rPr>
        <w:t>. 参选</w:t>
      </w:r>
      <w:r>
        <w:rPr>
          <w:rFonts w:hint="eastAsia" w:ascii="仿宋_GB2312" w:hAnsi="仿宋_GB2312" w:eastAsia="仿宋_GB2312" w:cs="仿宋_GB2312"/>
          <w:b/>
          <w:bCs/>
          <w:color w:val="auto"/>
          <w:sz w:val="32"/>
          <w:szCs w:val="32"/>
        </w:rPr>
        <w:t>文件的组成</w:t>
      </w:r>
    </w:p>
    <w:p w14:paraId="55E53F06">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人应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提供如下有关资料</w:t>
      </w:r>
      <w:r>
        <w:rPr>
          <w:rFonts w:hint="eastAsia" w:ascii="仿宋_GB2312" w:hAnsi="仿宋_GB2312" w:eastAsia="仿宋_GB2312" w:cs="仿宋_GB2312"/>
          <w:color w:val="auto"/>
          <w:sz w:val="32"/>
          <w:szCs w:val="32"/>
          <w:lang w:eastAsia="zh-CN"/>
        </w:rPr>
        <w:t>：</w:t>
      </w:r>
    </w:p>
    <w:p w14:paraId="0D87CCFD">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w:t>
      </w:r>
      <w:r>
        <w:rPr>
          <w:rFonts w:hint="eastAsia" w:ascii="仿宋_GB2312" w:hAnsi="仿宋_GB2312" w:eastAsia="仿宋_GB2312" w:cs="仿宋_GB2312"/>
          <w:color w:val="auto"/>
          <w:sz w:val="32"/>
          <w:szCs w:val="32"/>
          <w:lang w:val="en-US" w:eastAsia="zh-CN"/>
        </w:rPr>
        <w:t xml:space="preserve"> 资格审查</w:t>
      </w:r>
      <w:r>
        <w:rPr>
          <w:rFonts w:hint="eastAsia" w:ascii="仿宋_GB2312" w:hAnsi="仿宋_GB2312" w:eastAsia="仿宋_GB2312" w:cs="仿宋_GB2312"/>
          <w:color w:val="auto"/>
          <w:sz w:val="32"/>
          <w:szCs w:val="32"/>
        </w:rPr>
        <w:t>文件</w:t>
      </w:r>
    </w:p>
    <w:p w14:paraId="5BFCA69A">
      <w:pPr>
        <w:keepNext w:val="0"/>
        <w:keepLines w:val="0"/>
        <w:pageBreakBefore w:val="0"/>
        <w:widowControl/>
        <w:kinsoku/>
        <w:wordWrap/>
        <w:overflowPunct w:val="0"/>
        <w:topLinePunct w:val="0"/>
        <w:autoSpaceDE/>
        <w:autoSpaceDN/>
        <w:bidi w:val="0"/>
        <w:adjustRightInd/>
        <w:spacing w:beforeAutospacing="0" w:afterAutospacing="0" w:line="560" w:lineRule="exact"/>
        <w:ind w:left="0" w:right="0" w:firstLine="640" w:firstLineChars="200"/>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color w:val="auto"/>
          <w:sz w:val="32"/>
          <w:szCs w:val="32"/>
        </w:rPr>
        <w:t>按</w:t>
      </w:r>
      <w:r>
        <w:rPr>
          <w:rFonts w:hint="eastAsia" w:ascii="仿宋_GB2312" w:hAnsi="仿宋_GB2312" w:eastAsia="仿宋_GB2312" w:cs="仿宋_GB2312"/>
          <w:color w:val="auto"/>
          <w:sz w:val="32"/>
          <w:szCs w:val="32"/>
          <w:lang w:val="en-US" w:eastAsia="zh-CN"/>
        </w:rPr>
        <w:t>照比选文件</w:t>
      </w:r>
      <w:r>
        <w:rPr>
          <w:rFonts w:hint="eastAsia" w:ascii="仿宋_GB2312" w:hAnsi="仿宋_GB2312" w:eastAsia="仿宋_GB2312" w:cs="仿宋_GB2312"/>
          <w:bCs/>
          <w:color w:val="auto"/>
          <w:sz w:val="32"/>
          <w:szCs w:val="32"/>
          <w:lang w:val="en-US" w:eastAsia="zh-CN"/>
        </w:rPr>
        <w:t>项目要求提供相应材料</w:t>
      </w:r>
      <w:r>
        <w:rPr>
          <w:rFonts w:hint="eastAsia" w:ascii="仿宋_GB2312" w:hAnsi="仿宋_GB2312" w:eastAsia="仿宋_GB2312" w:cs="仿宋_GB2312"/>
          <w:color w:val="auto"/>
          <w:sz w:val="32"/>
          <w:szCs w:val="32"/>
        </w:rPr>
        <w:t>，并装订成册</w:t>
      </w:r>
      <w:r>
        <w:rPr>
          <w:rFonts w:hint="eastAsia" w:ascii="仿宋_GB2312" w:hAnsi="仿宋_GB2312" w:eastAsia="仿宋_GB2312" w:cs="仿宋_GB2312"/>
          <w:bCs/>
          <w:color w:val="auto"/>
          <w:sz w:val="32"/>
          <w:szCs w:val="32"/>
          <w:lang w:val="en-US" w:eastAsia="zh-CN"/>
        </w:rPr>
        <w:t>。</w:t>
      </w:r>
    </w:p>
    <w:p w14:paraId="5B48288E">
      <w:pPr>
        <w:keepNext w:val="0"/>
        <w:keepLines w:val="0"/>
        <w:pageBreakBefore w:val="0"/>
        <w:widowControl/>
        <w:kinsoku/>
        <w:wordWrap/>
        <w:overflowPunct w:val="0"/>
        <w:topLinePunct w:val="0"/>
        <w:autoSpaceDE/>
        <w:autoSpaceDN/>
        <w:bidi w:val="0"/>
        <w:adjustRightInd/>
        <w:spacing w:beforeAutospacing="0" w:afterAutospacing="0" w:line="560" w:lineRule="exact"/>
        <w:ind w:left="0" w:right="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2.2</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rPr>
        <w:t>综合评审文件</w:t>
      </w:r>
    </w:p>
    <w:p w14:paraId="75FF6C35">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w:t>
      </w:r>
      <w:r>
        <w:rPr>
          <w:rFonts w:hint="eastAsia" w:ascii="仿宋_GB2312" w:hAnsi="仿宋_GB2312" w:eastAsia="仿宋_GB2312" w:cs="仿宋_GB2312"/>
          <w:color w:val="auto"/>
          <w:sz w:val="32"/>
          <w:szCs w:val="32"/>
          <w:lang w:val="en-US" w:eastAsia="zh-CN"/>
        </w:rPr>
        <w:t>照比选文件评审</w:t>
      </w:r>
      <w:r>
        <w:rPr>
          <w:rFonts w:hint="eastAsia" w:ascii="仿宋_GB2312" w:hAnsi="仿宋_GB2312" w:eastAsia="仿宋_GB2312" w:cs="仿宋_GB2312"/>
          <w:color w:val="auto"/>
          <w:sz w:val="32"/>
          <w:szCs w:val="32"/>
        </w:rPr>
        <w:t>要求提供相应资料，并装订成册。</w:t>
      </w:r>
    </w:p>
    <w:p w14:paraId="63B07944">
      <w:pPr>
        <w:keepNext w:val="0"/>
        <w:keepLines w:val="0"/>
        <w:pageBreakBefore w:val="0"/>
        <w:widowControl/>
        <w:numPr>
          <w:ilvl w:val="0"/>
          <w:numId w:val="3"/>
        </w:numPr>
        <w:kinsoku/>
        <w:wordWrap/>
        <w:overflowPunct w:val="0"/>
        <w:topLinePunct w:val="0"/>
        <w:autoSpaceDE/>
        <w:autoSpaceDN/>
        <w:bidi w:val="0"/>
        <w:adjustRightInd/>
        <w:snapToGrid w:val="0"/>
        <w:spacing w:beforeAutospacing="0" w:afterAutospacing="0" w:line="560" w:lineRule="exact"/>
        <w:ind w:left="0" w:right="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参选</w:t>
      </w:r>
      <w:r>
        <w:rPr>
          <w:rFonts w:hint="eastAsia" w:ascii="仿宋_GB2312" w:hAnsi="仿宋_GB2312" w:eastAsia="仿宋_GB2312" w:cs="仿宋_GB2312"/>
          <w:b/>
          <w:bCs/>
          <w:color w:val="auto"/>
          <w:sz w:val="32"/>
          <w:szCs w:val="32"/>
        </w:rPr>
        <w:t>文件</w:t>
      </w:r>
      <w:r>
        <w:rPr>
          <w:rFonts w:hint="eastAsia" w:ascii="仿宋_GB2312" w:hAnsi="仿宋_GB2312" w:eastAsia="仿宋_GB2312" w:cs="仿宋_GB2312"/>
          <w:b/>
          <w:bCs/>
          <w:color w:val="auto"/>
          <w:sz w:val="32"/>
          <w:szCs w:val="32"/>
          <w:lang w:val="en-US" w:eastAsia="zh-CN"/>
        </w:rPr>
        <w:t>的</w:t>
      </w:r>
      <w:r>
        <w:rPr>
          <w:rFonts w:hint="eastAsia" w:ascii="仿宋_GB2312" w:hAnsi="仿宋_GB2312" w:eastAsia="仿宋_GB2312" w:cs="仿宋_GB2312"/>
          <w:b/>
          <w:bCs/>
          <w:color w:val="auto"/>
          <w:sz w:val="32"/>
          <w:szCs w:val="32"/>
        </w:rPr>
        <w:t>格式</w:t>
      </w:r>
      <w:r>
        <w:rPr>
          <w:rFonts w:hint="eastAsia" w:ascii="仿宋_GB2312" w:hAnsi="仿宋_GB2312" w:eastAsia="仿宋_GB2312" w:cs="仿宋_GB2312"/>
          <w:b/>
          <w:bCs/>
          <w:color w:val="auto"/>
          <w:sz w:val="32"/>
          <w:szCs w:val="32"/>
          <w:lang w:val="en-US" w:eastAsia="zh-CN"/>
        </w:rPr>
        <w:t>要求</w:t>
      </w:r>
    </w:p>
    <w:p w14:paraId="66505CF1">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 参选</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val="en-US" w:eastAsia="zh-CN"/>
        </w:rPr>
        <w:t>形式、份数</w:t>
      </w:r>
    </w:p>
    <w:p w14:paraId="3929F1C4">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val="en-US" w:eastAsia="zh-CN"/>
        </w:rPr>
        <w:t>应当分别提供电子版和纸质版。纸质版材料应提供正本壹</w:t>
      </w:r>
      <w:r>
        <w:rPr>
          <w:rFonts w:hint="eastAsia" w:ascii="仿宋_GB2312" w:hAnsi="仿宋_GB2312" w:eastAsia="仿宋_GB2312" w:cs="仿宋_GB2312"/>
          <w:color w:val="auto"/>
          <w:sz w:val="32"/>
          <w:szCs w:val="32"/>
        </w:rPr>
        <w:t>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副本贰份</w:t>
      </w:r>
      <w:r>
        <w:rPr>
          <w:rFonts w:hint="eastAsia" w:ascii="仿宋_GB2312" w:hAnsi="仿宋_GB2312" w:eastAsia="仿宋_GB2312" w:cs="仿宋_GB2312"/>
          <w:color w:val="auto"/>
          <w:sz w:val="32"/>
          <w:szCs w:val="32"/>
        </w:rPr>
        <w:t>。</w:t>
      </w:r>
    </w:p>
    <w:p w14:paraId="04853A37">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 参选</w:t>
      </w:r>
      <w:r>
        <w:rPr>
          <w:rFonts w:hint="eastAsia" w:ascii="仿宋_GB2312" w:hAnsi="仿宋_GB2312" w:eastAsia="仿宋_GB2312" w:cs="仿宋_GB2312"/>
          <w:color w:val="auto"/>
          <w:sz w:val="32"/>
          <w:szCs w:val="32"/>
        </w:rPr>
        <w:t>文件装订、密封</w:t>
      </w:r>
    </w:p>
    <w:p w14:paraId="7CA0A683">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（1）参选</w:t>
      </w:r>
      <w:r>
        <w:rPr>
          <w:rFonts w:hint="eastAsia" w:ascii="仿宋_GB2312" w:hAnsi="仿宋_GB2312" w:eastAsia="仿宋_GB2312" w:cs="仿宋_GB2312"/>
          <w:color w:val="auto"/>
          <w:sz w:val="32"/>
          <w:szCs w:val="32"/>
        </w:rPr>
        <w:t>文件应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统一</w:t>
      </w:r>
      <w:r>
        <w:rPr>
          <w:rFonts w:hint="eastAsia" w:ascii="仿宋_GB2312" w:hAnsi="仿宋_GB2312" w:eastAsia="仿宋_GB2312" w:cs="仿宋_GB2312"/>
          <w:color w:val="auto"/>
          <w:sz w:val="32"/>
          <w:szCs w:val="32"/>
          <w:lang w:val="en-US" w:eastAsia="zh-CN"/>
        </w:rPr>
        <w:t>采</w:t>
      </w:r>
      <w:r>
        <w:rPr>
          <w:rFonts w:hint="eastAsia" w:ascii="仿宋_GB2312" w:hAnsi="仿宋_GB2312" w:eastAsia="仿宋_GB2312" w:cs="仿宋_GB2312"/>
          <w:color w:val="auto"/>
          <w:sz w:val="32"/>
          <w:szCs w:val="32"/>
        </w:rPr>
        <w:t>用标准A4纸（图纸除外）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装订成册，装入密封的信封或包装，在信封或包装上</w:t>
      </w:r>
      <w:r>
        <w:rPr>
          <w:rFonts w:hint="eastAsia" w:ascii="仿宋_GB2312" w:hAnsi="仿宋_GB2312" w:eastAsia="仿宋_GB2312" w:cs="仿宋_GB2312"/>
          <w:color w:val="auto"/>
          <w:sz w:val="32"/>
          <w:szCs w:val="32"/>
          <w:lang w:val="en-US" w:eastAsia="zh-CN"/>
        </w:rPr>
        <w:t>粘贴封面，并</w:t>
      </w:r>
      <w:r>
        <w:rPr>
          <w:rFonts w:hint="eastAsia" w:ascii="仿宋_GB2312" w:hAnsi="仿宋_GB2312" w:eastAsia="仿宋_GB2312" w:cs="仿宋_GB2312"/>
          <w:color w:val="auto"/>
          <w:sz w:val="32"/>
          <w:szCs w:val="32"/>
          <w:lang w:eastAsia="zh-CN"/>
        </w:rPr>
        <w:t>标明项目名称、</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lang w:eastAsia="zh-CN"/>
        </w:rPr>
        <w:t>名称、联系地址</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lang w:eastAsia="zh-CN"/>
        </w:rPr>
        <w:t>方式、</w:t>
      </w:r>
      <w:r>
        <w:rPr>
          <w:rFonts w:hint="eastAsia" w:ascii="仿宋_GB2312" w:hAnsi="仿宋_GB2312" w:eastAsia="仿宋_GB2312" w:cs="仿宋_GB2312"/>
          <w:color w:val="auto"/>
          <w:sz w:val="32"/>
          <w:szCs w:val="32"/>
          <w:lang w:val="en-US" w:eastAsia="zh-CN"/>
        </w:rPr>
        <w:t>参选日期</w:t>
      </w:r>
      <w:r>
        <w:rPr>
          <w:rFonts w:hint="eastAsia" w:ascii="仿宋_GB2312" w:hAnsi="仿宋_GB2312" w:eastAsia="仿宋_GB2312" w:cs="仿宋_GB2312"/>
          <w:color w:val="auto"/>
          <w:sz w:val="32"/>
          <w:szCs w:val="32"/>
          <w:lang w:eastAsia="zh-CN"/>
        </w:rPr>
        <w:t>，封口处加盖</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lang w:eastAsia="zh-CN"/>
        </w:rPr>
        <w:t>公章。</w:t>
      </w:r>
    </w:p>
    <w:p w14:paraId="4F811E8C">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文件正本应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包括有</w:t>
      </w:r>
      <w:r>
        <w:rPr>
          <w:rFonts w:hint="eastAsia" w:ascii="仿宋_GB2312" w:hAnsi="仿宋_GB2312" w:eastAsia="仿宋_GB2312" w:cs="仿宋_GB2312"/>
          <w:color w:val="auto"/>
          <w:sz w:val="32"/>
          <w:szCs w:val="32"/>
          <w:lang w:val="en-US" w:eastAsia="zh-CN"/>
        </w:rPr>
        <w:t>比选文件</w:t>
      </w:r>
      <w:r>
        <w:rPr>
          <w:rFonts w:hint="eastAsia" w:ascii="仿宋_GB2312" w:hAnsi="仿宋_GB2312" w:eastAsia="仿宋_GB2312" w:cs="仿宋_GB2312"/>
          <w:color w:val="auto"/>
          <w:sz w:val="32"/>
          <w:szCs w:val="32"/>
        </w:rPr>
        <w:t>规定的全部文件以及</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人认为必要的文件。</w:t>
      </w:r>
      <w:r>
        <w:rPr>
          <w:rFonts w:hint="eastAsia" w:ascii="仿宋_GB2312" w:hAnsi="仿宋_GB2312" w:eastAsia="仿宋_GB2312" w:cs="仿宋_GB2312"/>
          <w:color w:val="auto"/>
          <w:sz w:val="32"/>
          <w:szCs w:val="32"/>
          <w:lang w:val="en-US" w:eastAsia="zh-CN"/>
        </w:rPr>
        <w:t>参选文件正文部分不能有</w:t>
      </w:r>
      <w:r>
        <w:rPr>
          <w:rFonts w:hint="eastAsia" w:ascii="仿宋_GB2312" w:hAnsi="仿宋_GB2312" w:eastAsia="仿宋_GB2312" w:cs="仿宋_GB2312"/>
          <w:color w:val="auto"/>
          <w:sz w:val="32"/>
          <w:szCs w:val="32"/>
        </w:rPr>
        <w:t>书写、涂改、增删</w:t>
      </w:r>
      <w:r>
        <w:rPr>
          <w:rFonts w:hint="eastAsia" w:ascii="仿宋_GB2312" w:hAnsi="仿宋_GB2312" w:eastAsia="仿宋_GB2312" w:cs="仿宋_GB2312"/>
          <w:color w:val="auto"/>
          <w:sz w:val="32"/>
          <w:szCs w:val="32"/>
          <w:lang w:val="en-US" w:eastAsia="zh-CN"/>
        </w:rPr>
        <w:t>痕迹，</w:t>
      </w:r>
      <w:r>
        <w:rPr>
          <w:rFonts w:hint="eastAsia" w:ascii="仿宋_GB2312" w:hAnsi="仿宋_GB2312" w:eastAsia="仿宋_GB2312" w:cs="仿宋_GB2312"/>
          <w:color w:val="auto"/>
          <w:sz w:val="32"/>
          <w:szCs w:val="32"/>
        </w:rPr>
        <w:t>正文外</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页头、页尾、页边</w:t>
      </w:r>
      <w:r>
        <w:rPr>
          <w:rFonts w:hint="eastAsia" w:ascii="仿宋_GB2312" w:hAnsi="仿宋_GB2312" w:eastAsia="仿宋_GB2312" w:cs="仿宋_GB2312"/>
          <w:color w:val="auto"/>
          <w:sz w:val="32"/>
          <w:szCs w:val="32"/>
          <w:lang w:val="en-US" w:eastAsia="zh-CN"/>
        </w:rPr>
        <w:t>部分不能有</w:t>
      </w:r>
      <w:r>
        <w:rPr>
          <w:rFonts w:hint="eastAsia" w:ascii="仿宋_GB2312" w:hAnsi="仿宋_GB2312" w:eastAsia="仿宋_GB2312" w:cs="仿宋_GB2312"/>
          <w:color w:val="auto"/>
          <w:sz w:val="32"/>
          <w:szCs w:val="32"/>
        </w:rPr>
        <w:t>书写、涂改、增删</w:t>
      </w:r>
      <w:r>
        <w:rPr>
          <w:rFonts w:hint="eastAsia" w:ascii="仿宋_GB2312" w:hAnsi="仿宋_GB2312" w:eastAsia="仿宋_GB2312" w:cs="仿宋_GB2312"/>
          <w:color w:val="auto"/>
          <w:sz w:val="32"/>
          <w:szCs w:val="32"/>
          <w:lang w:val="en-US" w:eastAsia="zh-CN"/>
        </w:rPr>
        <w:t>痕迹</w:t>
      </w:r>
      <w:r>
        <w:rPr>
          <w:rFonts w:hint="eastAsia" w:ascii="仿宋_GB2312" w:hAnsi="仿宋_GB2312" w:eastAsia="仿宋_GB2312" w:cs="仿宋_GB2312"/>
          <w:color w:val="auto"/>
          <w:sz w:val="32"/>
          <w:szCs w:val="32"/>
        </w:rPr>
        <w:t>。</w:t>
      </w:r>
    </w:p>
    <w:p w14:paraId="1E4DD743">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4. 参选</w:t>
      </w:r>
      <w:r>
        <w:rPr>
          <w:rFonts w:hint="eastAsia" w:ascii="仿宋_GB2312" w:hAnsi="仿宋_GB2312" w:eastAsia="仿宋_GB2312" w:cs="仿宋_GB2312"/>
          <w:b/>
          <w:bCs/>
          <w:color w:val="auto"/>
          <w:sz w:val="32"/>
          <w:szCs w:val="32"/>
        </w:rPr>
        <w:t>文件的澄清和补正</w:t>
      </w:r>
    </w:p>
    <w:p w14:paraId="7F31B2A1">
      <w:pPr>
        <w:keepNext w:val="0"/>
        <w:keepLines w:val="0"/>
        <w:pageBreakBefore w:val="0"/>
        <w:widowControl/>
        <w:kinsoku/>
        <w:wordWrap/>
        <w:overflowPunct w:val="0"/>
        <w:topLinePunct w:val="0"/>
        <w:autoSpaceDE/>
        <w:autoSpaceDN/>
        <w:bidi w:val="0"/>
        <w:adjustRightInd/>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在评审过程中，</w:t>
      </w:r>
      <w:r>
        <w:rPr>
          <w:rFonts w:hint="eastAsia" w:ascii="仿宋_GB2312" w:hAnsi="仿宋_GB2312" w:eastAsia="仿宋_GB2312" w:cs="仿宋_GB2312"/>
          <w:color w:val="auto"/>
          <w:sz w:val="32"/>
          <w:szCs w:val="32"/>
          <w:lang w:val="en-US" w:eastAsia="zh-CN"/>
        </w:rPr>
        <w:t>评审小组</w:t>
      </w:r>
      <w:r>
        <w:rPr>
          <w:rFonts w:hint="eastAsia" w:ascii="仿宋_GB2312" w:hAnsi="仿宋_GB2312" w:eastAsia="仿宋_GB2312" w:cs="仿宋_GB2312"/>
          <w:color w:val="auto"/>
          <w:sz w:val="32"/>
          <w:szCs w:val="32"/>
        </w:rPr>
        <w:t>可以书面形式要求</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人对所提交的</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文件中不明确的内容进行书面澄清或说明，或者对细微偏差进行补正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评审小组</w:t>
      </w:r>
      <w:r>
        <w:rPr>
          <w:rFonts w:hint="eastAsia" w:ascii="仿宋_GB2312" w:hAnsi="仿宋_GB2312" w:eastAsia="仿宋_GB2312" w:cs="仿宋_GB2312"/>
          <w:color w:val="auto"/>
          <w:sz w:val="32"/>
          <w:szCs w:val="32"/>
        </w:rPr>
        <w:t>不接受</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人主动提出的澄清、说明或补正。</w:t>
      </w:r>
    </w:p>
    <w:p w14:paraId="1C1A2822">
      <w:pPr>
        <w:keepNext w:val="0"/>
        <w:keepLines w:val="0"/>
        <w:pageBreakBefore w:val="0"/>
        <w:widowControl/>
        <w:kinsoku/>
        <w:wordWrap/>
        <w:overflowPunct w:val="0"/>
        <w:topLinePunct w:val="0"/>
        <w:autoSpaceDE/>
        <w:autoSpaceDN/>
        <w:bidi w:val="0"/>
        <w:adjustRightInd/>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澄清、说明和补正不得改变</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文件的实质性内容（算术性错误修正的除外）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人的书面澄清、说明和补正属于</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文件的组成部分。</w:t>
      </w:r>
    </w:p>
    <w:p w14:paraId="3632EED2">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 xml:space="preserve">5. </w:t>
      </w:r>
      <w:r>
        <w:rPr>
          <w:rFonts w:hint="eastAsia" w:ascii="仿宋_GB2312" w:hAnsi="仿宋_GB2312" w:eastAsia="仿宋_GB2312" w:cs="仿宋_GB2312"/>
          <w:b/>
          <w:bCs/>
          <w:color w:val="auto"/>
          <w:sz w:val="32"/>
          <w:szCs w:val="32"/>
        </w:rPr>
        <w:t>其他须知</w:t>
      </w:r>
    </w:p>
    <w:p w14:paraId="23021A7B">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5.1 参选人</w:t>
      </w:r>
      <w:r>
        <w:rPr>
          <w:rFonts w:hint="eastAsia" w:ascii="仿宋_GB2312" w:hAnsi="仿宋_GB2312" w:eastAsia="仿宋_GB2312" w:cs="仿宋_GB2312"/>
          <w:color w:val="auto"/>
          <w:sz w:val="32"/>
          <w:szCs w:val="32"/>
        </w:rPr>
        <w:t>所报</w:t>
      </w:r>
      <w:r>
        <w:rPr>
          <w:rFonts w:hint="eastAsia" w:ascii="仿宋_GB2312" w:hAnsi="仿宋_GB2312" w:eastAsia="仿宋_GB2312" w:cs="仿宋_GB2312"/>
          <w:color w:val="auto"/>
          <w:sz w:val="32"/>
          <w:szCs w:val="32"/>
          <w:lang w:val="en-US" w:eastAsia="zh-CN"/>
        </w:rPr>
        <w:t>服务费用</w:t>
      </w:r>
      <w:r>
        <w:rPr>
          <w:rFonts w:hint="eastAsia" w:ascii="仿宋_GB2312" w:hAnsi="仿宋_GB2312" w:eastAsia="仿宋_GB2312" w:cs="仿宋_GB2312"/>
          <w:color w:val="auto"/>
          <w:sz w:val="32"/>
          <w:szCs w:val="32"/>
        </w:rPr>
        <w:t>应为</w:t>
      </w:r>
      <w:r>
        <w:rPr>
          <w:rFonts w:hint="eastAsia" w:ascii="仿宋_GB2312" w:hAnsi="仿宋_GB2312" w:eastAsia="仿宋_GB2312" w:cs="仿宋_GB2312"/>
          <w:color w:val="auto"/>
          <w:sz w:val="32"/>
          <w:szCs w:val="32"/>
          <w:lang w:val="en-US" w:eastAsia="zh-CN"/>
        </w:rPr>
        <w:t>价格</w:t>
      </w:r>
      <w:r>
        <w:rPr>
          <w:rFonts w:hint="eastAsia" w:ascii="仿宋_GB2312" w:hAnsi="仿宋_GB2312" w:eastAsia="仿宋_GB2312" w:cs="仿宋_GB2312"/>
          <w:color w:val="auto"/>
          <w:sz w:val="32"/>
          <w:szCs w:val="32"/>
        </w:rPr>
        <w:t>总额，包括常年法律顾问服务费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税费、</w:t>
      </w:r>
      <w:r>
        <w:rPr>
          <w:rFonts w:hint="eastAsia" w:ascii="仿宋_GB2312" w:hAnsi="仿宋_GB2312" w:eastAsia="仿宋_GB2312" w:cs="仿宋_GB2312"/>
          <w:color w:val="auto"/>
          <w:sz w:val="32"/>
          <w:szCs w:val="32"/>
        </w:rPr>
        <w:t>交通费、通讯费、餐费等</w:t>
      </w:r>
      <w:r>
        <w:rPr>
          <w:rFonts w:hint="eastAsia" w:ascii="仿宋_GB2312" w:hAnsi="仿宋_GB2312" w:eastAsia="仿宋_GB2312" w:cs="仿宋_GB2312"/>
          <w:color w:val="auto"/>
          <w:sz w:val="32"/>
          <w:szCs w:val="32"/>
          <w:lang w:val="en-US" w:eastAsia="zh-CN"/>
        </w:rPr>
        <w:t>一切</w:t>
      </w:r>
      <w:r>
        <w:rPr>
          <w:rFonts w:hint="eastAsia" w:ascii="仿宋_GB2312" w:hAnsi="仿宋_GB2312" w:eastAsia="仿宋_GB2312" w:cs="仿宋_GB2312"/>
          <w:color w:val="auto"/>
          <w:sz w:val="32"/>
          <w:szCs w:val="32"/>
        </w:rPr>
        <w:t>费用。</w:t>
      </w:r>
    </w:p>
    <w:p w14:paraId="40E8EC25">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5.2 参选人</w:t>
      </w:r>
      <w:r>
        <w:rPr>
          <w:rFonts w:hint="eastAsia" w:ascii="仿宋_GB2312" w:hAnsi="仿宋_GB2312" w:eastAsia="仿宋_GB2312" w:cs="仿宋_GB2312"/>
          <w:color w:val="auto"/>
          <w:sz w:val="32"/>
          <w:szCs w:val="32"/>
        </w:rPr>
        <w:t>应本着长期合作、专业服务的精神，以</w:t>
      </w:r>
      <w:r>
        <w:rPr>
          <w:rFonts w:hint="eastAsia" w:ascii="仿宋_GB2312" w:hAnsi="仿宋_GB2312" w:eastAsia="仿宋_GB2312" w:cs="仿宋_GB2312"/>
          <w:color w:val="auto"/>
          <w:sz w:val="32"/>
          <w:szCs w:val="32"/>
          <w:lang w:val="en-US" w:eastAsia="zh-CN"/>
        </w:rPr>
        <w:t>合适</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服务报价参选</w:t>
      </w:r>
      <w:r>
        <w:rPr>
          <w:rFonts w:hint="eastAsia" w:ascii="仿宋_GB2312" w:hAnsi="仿宋_GB2312" w:eastAsia="仿宋_GB2312" w:cs="仿宋_GB2312"/>
          <w:color w:val="auto"/>
          <w:sz w:val="32"/>
          <w:szCs w:val="32"/>
        </w:rPr>
        <w:t>，并严格保证</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rPr>
        <w:t>质量。</w:t>
      </w:r>
    </w:p>
    <w:p w14:paraId="05049C3C">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5.3 参选人</w:t>
      </w:r>
      <w:r>
        <w:rPr>
          <w:rFonts w:hint="eastAsia" w:ascii="仿宋_GB2312" w:hAnsi="仿宋_GB2312" w:eastAsia="仿宋_GB2312" w:cs="仿宋_GB2312"/>
          <w:color w:val="auto"/>
          <w:sz w:val="32"/>
          <w:szCs w:val="32"/>
        </w:rPr>
        <w:t>不允许提交两份或两份以上不同实质内容的</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提交</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文件均不退还，由</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存档备</w:t>
      </w:r>
      <w:r>
        <w:rPr>
          <w:rFonts w:hint="eastAsia" w:ascii="仿宋_GB2312" w:hAnsi="仿宋_GB2312" w:eastAsia="仿宋_GB2312" w:cs="仿宋_GB2312"/>
          <w:color w:val="auto"/>
          <w:sz w:val="32"/>
          <w:szCs w:val="32"/>
          <w:lang w:val="en-US" w:eastAsia="zh-CN"/>
        </w:rPr>
        <w:t>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将对</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资料予以保密。</w:t>
      </w:r>
    </w:p>
    <w:p w14:paraId="5F0245A0">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5.4 参选人应对其提交的参选文件的真实性、合法性、完整性负责，若有不实，作废选处理或解除服务合同。</w:t>
      </w:r>
    </w:p>
    <w:p w14:paraId="0A5B208E">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5.5 参选人</w:t>
      </w:r>
      <w:r>
        <w:rPr>
          <w:rFonts w:hint="eastAsia" w:ascii="仿宋_GB2312" w:hAnsi="仿宋_GB2312" w:eastAsia="仿宋_GB2312" w:cs="仿宋_GB2312"/>
          <w:color w:val="auto"/>
          <w:sz w:val="32"/>
          <w:szCs w:val="32"/>
        </w:rPr>
        <w:t>及指派律师的情况和专业水平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color w:val="auto"/>
          <w:sz w:val="32"/>
          <w:szCs w:val="32"/>
          <w:lang w:val="en-US" w:eastAsia="zh-CN"/>
        </w:rPr>
        <w:t>参选文件</w:t>
      </w:r>
      <w:r>
        <w:rPr>
          <w:rFonts w:hint="eastAsia" w:ascii="仿宋_GB2312" w:hAnsi="仿宋_GB2312" w:eastAsia="仿宋_GB2312" w:cs="仿宋_GB2312"/>
          <w:color w:val="auto"/>
          <w:sz w:val="32"/>
          <w:szCs w:val="32"/>
        </w:rPr>
        <w:t>所述</w:t>
      </w:r>
      <w:r>
        <w:rPr>
          <w:rFonts w:hint="eastAsia" w:ascii="仿宋_GB2312" w:hAnsi="仿宋_GB2312" w:eastAsia="仿宋_GB2312" w:cs="仿宋_GB2312"/>
          <w:color w:val="auto"/>
          <w:sz w:val="32"/>
          <w:szCs w:val="32"/>
          <w:lang w:val="en-US" w:eastAsia="zh-CN"/>
        </w:rPr>
        <w:t>严重</w:t>
      </w:r>
      <w:r>
        <w:rPr>
          <w:rFonts w:hint="eastAsia" w:ascii="仿宋_GB2312" w:hAnsi="仿宋_GB2312" w:eastAsia="仿宋_GB2312" w:cs="仿宋_GB2312"/>
          <w:color w:val="auto"/>
          <w:sz w:val="32"/>
          <w:szCs w:val="32"/>
        </w:rPr>
        <w:t>不符</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，或</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及指派律师的实际从业能力无法</w:t>
      </w:r>
      <w:r>
        <w:rPr>
          <w:rFonts w:hint="eastAsia" w:ascii="仿宋_GB2312" w:hAnsi="仿宋_GB2312" w:eastAsia="仿宋_GB2312" w:cs="仿宋_GB2312"/>
          <w:color w:val="auto"/>
          <w:sz w:val="32"/>
          <w:szCs w:val="32"/>
          <w:lang w:val="en-US" w:eastAsia="zh-CN"/>
        </w:rPr>
        <w:t>满足公司基本</w:t>
      </w:r>
      <w:r>
        <w:rPr>
          <w:rFonts w:hint="eastAsia" w:ascii="仿宋_GB2312" w:hAnsi="仿宋_GB2312" w:eastAsia="仿宋_GB2312" w:cs="仿宋_GB2312"/>
          <w:color w:val="auto"/>
          <w:sz w:val="32"/>
          <w:szCs w:val="32"/>
        </w:rPr>
        <w:t>要求的，或</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及指派律师的</w:t>
      </w:r>
      <w:r>
        <w:rPr>
          <w:rFonts w:hint="eastAsia" w:ascii="仿宋_GB2312" w:hAnsi="仿宋_GB2312" w:eastAsia="仿宋_GB2312" w:cs="仿宋_GB2312"/>
          <w:color w:val="auto"/>
          <w:sz w:val="32"/>
          <w:szCs w:val="32"/>
          <w:lang w:val="en-US" w:eastAsia="zh-CN"/>
        </w:rPr>
        <w:t>重大</w:t>
      </w:r>
      <w:r>
        <w:rPr>
          <w:rFonts w:hint="eastAsia" w:ascii="仿宋_GB2312" w:hAnsi="仿宋_GB2312" w:eastAsia="仿宋_GB2312" w:cs="仿宋_GB2312"/>
          <w:color w:val="auto"/>
          <w:sz w:val="32"/>
          <w:szCs w:val="32"/>
        </w:rPr>
        <w:t>过错给</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带来损失的，</w:t>
      </w:r>
      <w:r>
        <w:rPr>
          <w:rFonts w:hint="eastAsia" w:ascii="仿宋_GB2312" w:hAnsi="仿宋_GB2312" w:eastAsia="仿宋_GB2312" w:cs="仿宋_GB2312"/>
          <w:color w:val="auto"/>
          <w:sz w:val="32"/>
          <w:szCs w:val="32"/>
          <w:lang w:val="en-US" w:eastAsia="zh-CN"/>
        </w:rPr>
        <w:t>公司有权作废选处理或解除服务合同</w:t>
      </w:r>
      <w:r>
        <w:rPr>
          <w:rFonts w:hint="eastAsia" w:ascii="仿宋_GB2312" w:hAnsi="仿宋_GB2312" w:eastAsia="仿宋_GB2312" w:cs="仿宋_GB2312"/>
          <w:color w:val="auto"/>
          <w:sz w:val="32"/>
          <w:szCs w:val="32"/>
        </w:rPr>
        <w:t>。</w:t>
      </w:r>
    </w:p>
    <w:p w14:paraId="503D17D7">
      <w:pPr>
        <w:rPr>
          <w:rFonts w:hint="eastAsia" w:ascii="宋体" w:hAnsi="宋体"/>
          <w:color w:val="auto"/>
          <w:sz w:val="36"/>
          <w:szCs w:val="36"/>
        </w:rPr>
      </w:pPr>
      <w:r>
        <w:rPr>
          <w:rFonts w:hint="eastAsia" w:ascii="宋体" w:hAnsi="宋体"/>
          <w:color w:val="auto"/>
          <w:sz w:val="36"/>
          <w:szCs w:val="36"/>
        </w:rPr>
        <w:br w:type="page"/>
      </w:r>
    </w:p>
    <w:p w14:paraId="2CC0A23F">
      <w:pPr>
        <w:pStyle w:val="2"/>
        <w:keepNext/>
        <w:keepLines/>
        <w:pageBreakBefore w:val="0"/>
        <w:widowControl w:val="0"/>
        <w:kinsoku/>
        <w:wordWrap w:val="0"/>
        <w:overflowPunct w:val="0"/>
        <w:topLinePunct w:val="0"/>
        <w:autoSpaceDE/>
        <w:autoSpaceDN/>
        <w:bidi w:val="0"/>
        <w:adjustRightInd/>
        <w:snapToGrid/>
        <w:spacing w:before="0" w:after="0" w:line="560" w:lineRule="exact"/>
        <w:jc w:val="center"/>
        <w:textAlignment w:val="auto"/>
        <w:rPr>
          <w:rFonts w:hint="default" w:ascii="黑体" w:hAnsi="黑体" w:eastAsia="黑体" w:cs="黑体"/>
          <w:b w:val="0"/>
          <w:bCs w:val="0"/>
          <w:color w:val="auto"/>
          <w:lang w:val="en-US" w:eastAsia="zh-CN"/>
        </w:rPr>
      </w:pPr>
      <w:bookmarkStart w:id="16" w:name="_Toc20971"/>
      <w:r>
        <w:rPr>
          <w:rFonts w:hint="eastAsia" w:ascii="黑体" w:hAnsi="黑体" w:eastAsia="黑体" w:cs="黑体"/>
          <w:b w:val="0"/>
          <w:bCs w:val="0"/>
          <w:color w:val="auto"/>
          <w:lang w:val="en-US" w:eastAsia="zh-CN"/>
        </w:rPr>
        <w:t>第三章 评</w:t>
      </w:r>
      <w:bookmarkEnd w:id="13"/>
      <w:bookmarkEnd w:id="14"/>
      <w:r>
        <w:rPr>
          <w:rFonts w:hint="eastAsia" w:ascii="黑体" w:hAnsi="黑体" w:eastAsia="黑体" w:cs="黑体"/>
          <w:b w:val="0"/>
          <w:bCs w:val="0"/>
          <w:color w:val="auto"/>
          <w:lang w:val="en-US" w:eastAsia="zh-CN"/>
        </w:rPr>
        <w:t>审办法</w:t>
      </w:r>
      <w:bookmarkEnd w:id="16"/>
    </w:p>
    <w:p w14:paraId="4962B306">
      <w:pPr>
        <w:keepNext w:val="0"/>
        <w:keepLines w:val="0"/>
        <w:pageBreakBefore w:val="0"/>
        <w:widowControl w:val="0"/>
        <w:kinsoku/>
        <w:wordWrap w:val="0"/>
        <w:overflowPunct w:val="0"/>
        <w:topLinePunct w:val="0"/>
        <w:autoSpaceDE/>
        <w:autoSpaceDN/>
        <w:bidi w:val="0"/>
        <w:adjustRightInd/>
        <w:spacing w:line="560" w:lineRule="exact"/>
        <w:ind w:left="0" w:firstLine="0" w:firstLineChars="0"/>
        <w:textAlignment w:val="auto"/>
        <w:rPr>
          <w:rFonts w:hint="eastAsia" w:ascii="仿宋_GB2312" w:hAnsi="仿宋_GB2312" w:eastAsia="仿宋_GB2312" w:cs="仿宋_GB2312"/>
          <w:color w:val="auto"/>
          <w:sz w:val="32"/>
          <w:szCs w:val="32"/>
        </w:rPr>
      </w:pPr>
      <w:bookmarkStart w:id="17" w:name="_Toc11876"/>
      <w:bookmarkStart w:id="18" w:name="_Toc81784911"/>
    </w:p>
    <w:p w14:paraId="46E61492">
      <w:pPr>
        <w:pageBreakBefore w:val="0"/>
        <w:kinsoku/>
        <w:wordWrap w:val="0"/>
        <w:overflowPunct w:val="0"/>
        <w:topLinePunct w:val="0"/>
        <w:autoSpaceDE/>
        <w:autoSpaceDN/>
        <w:bidi w:val="0"/>
        <w:adjustRightInd/>
        <w:spacing w:beforeAutospacing="0" w:afterAutospacing="0" w:line="560" w:lineRule="exact"/>
        <w:ind w:left="0" w:right="0" w:firstLine="640" w:firstLineChars="200"/>
        <w:jc w:val="both"/>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rPr>
        <w:t>评</w:t>
      </w:r>
      <w:r>
        <w:rPr>
          <w:rFonts w:hint="eastAsia" w:ascii="黑体" w:hAnsi="黑体" w:eastAsia="黑体" w:cs="黑体"/>
          <w:b w:val="0"/>
          <w:bCs w:val="0"/>
          <w:color w:val="auto"/>
          <w:sz w:val="32"/>
          <w:szCs w:val="32"/>
          <w:lang w:val="en-US" w:eastAsia="zh-CN"/>
        </w:rPr>
        <w:t>审须知</w:t>
      </w:r>
    </w:p>
    <w:p w14:paraId="72169805">
      <w:pPr>
        <w:keepNext w:val="0"/>
        <w:keepLines w:val="0"/>
        <w:pageBreakBefore w:val="0"/>
        <w:widowControl w:val="0"/>
        <w:kinsoku/>
        <w:wordWrap w:val="0"/>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 xml:space="preserve"> 本项目公司</w:t>
      </w:r>
      <w:r>
        <w:rPr>
          <w:rFonts w:hint="eastAsia" w:ascii="仿宋_GB2312" w:hAnsi="仿宋_GB2312" w:eastAsia="仿宋_GB2312" w:cs="仿宋_GB2312"/>
          <w:color w:val="auto"/>
          <w:sz w:val="32"/>
          <w:szCs w:val="32"/>
        </w:rPr>
        <w:t>自行组建</w:t>
      </w:r>
      <w:r>
        <w:rPr>
          <w:rFonts w:hint="eastAsia" w:ascii="仿宋_GB2312" w:hAnsi="仿宋_GB2312" w:eastAsia="仿宋_GB2312" w:cs="仿宋_GB2312"/>
          <w:color w:val="auto"/>
          <w:sz w:val="32"/>
          <w:szCs w:val="32"/>
          <w:lang w:val="en-US" w:eastAsia="zh-CN"/>
        </w:rPr>
        <w:t>评审小组</w:t>
      </w:r>
      <w:r>
        <w:rPr>
          <w:rFonts w:hint="eastAsia" w:ascii="仿宋_GB2312" w:hAnsi="仿宋_GB2312" w:eastAsia="仿宋_GB2312" w:cs="仿宋_GB2312"/>
          <w:color w:val="auto"/>
          <w:sz w:val="32"/>
          <w:szCs w:val="32"/>
        </w:rPr>
        <w:t>进行</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采用现场评审方式进行评审</w:t>
      </w:r>
      <w:r>
        <w:rPr>
          <w:rFonts w:hint="eastAsia" w:ascii="仿宋_GB2312" w:hAnsi="仿宋_GB2312" w:eastAsia="仿宋_GB2312" w:cs="仿宋_GB2312"/>
          <w:color w:val="auto"/>
          <w:sz w:val="32"/>
          <w:szCs w:val="32"/>
        </w:rPr>
        <w:t>。</w:t>
      </w:r>
    </w:p>
    <w:p w14:paraId="4C95DE4D">
      <w:pPr>
        <w:keepNext w:val="0"/>
        <w:keepLines w:val="0"/>
        <w:pageBreakBefore w:val="0"/>
        <w:widowControl w:val="0"/>
        <w:kinsoku/>
        <w:wordWrap w:val="0"/>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 xml:space="preserve"> 本项目评审小组根据比选文件要求，对参选人的资格条件进行审查，只有通过资格审查才能进入综合评审。</w:t>
      </w:r>
    </w:p>
    <w:p w14:paraId="4882C33E">
      <w:pPr>
        <w:keepNext w:val="0"/>
        <w:keepLines w:val="0"/>
        <w:pageBreakBefore w:val="0"/>
        <w:widowControl w:val="0"/>
        <w:kinsoku/>
        <w:wordWrap w:val="0"/>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1.3 </w:t>
      </w:r>
      <w:r>
        <w:rPr>
          <w:rFonts w:hint="eastAsia" w:ascii="仿宋_GB2312" w:hAnsi="仿宋_GB2312" w:eastAsia="仿宋_GB2312" w:cs="仿宋_GB2312"/>
          <w:color w:val="auto"/>
          <w:sz w:val="32"/>
          <w:szCs w:val="32"/>
        </w:rPr>
        <w:t>本次</w:t>
      </w:r>
      <w:r>
        <w:rPr>
          <w:rFonts w:hint="eastAsia" w:ascii="仿宋_GB2312" w:hAnsi="仿宋_GB2312" w:eastAsia="仿宋_GB2312" w:cs="仿宋_GB2312"/>
          <w:color w:val="auto"/>
          <w:sz w:val="32"/>
          <w:szCs w:val="32"/>
          <w:lang w:val="en-US" w:eastAsia="zh-CN"/>
        </w:rPr>
        <w:t>采购项目</w:t>
      </w:r>
      <w:r>
        <w:rPr>
          <w:rFonts w:hint="eastAsia" w:ascii="仿宋_GB2312" w:hAnsi="仿宋_GB2312" w:eastAsia="仿宋_GB2312" w:cs="仿宋_GB2312"/>
          <w:color w:val="auto"/>
          <w:sz w:val="32"/>
          <w:szCs w:val="32"/>
        </w:rPr>
        <w:t>采用综合评分法</w:t>
      </w:r>
      <w:r>
        <w:rPr>
          <w:rFonts w:hint="eastAsia" w:ascii="仿宋_GB2312" w:hAnsi="仿宋_GB2312" w:eastAsia="仿宋_GB2312" w:cs="仿宋_GB2312"/>
          <w:color w:val="auto"/>
          <w:sz w:val="32"/>
          <w:szCs w:val="32"/>
          <w:lang w:val="en-US" w:eastAsia="zh-CN"/>
        </w:rPr>
        <w:t>，评审小组根据比选文件量化因素、分值要求，对参选文件的内容进行综合评价打分并计算出综合得分。</w:t>
      </w:r>
    </w:p>
    <w:p w14:paraId="2D0AD689">
      <w:pPr>
        <w:keepNext w:val="0"/>
        <w:keepLines w:val="0"/>
        <w:pageBreakBefore w:val="0"/>
        <w:widowControl w:val="0"/>
        <w:kinsoku/>
        <w:wordWrap w:val="0"/>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 本项目评审小组进行</w:t>
      </w:r>
      <w:r>
        <w:rPr>
          <w:rFonts w:hint="eastAsia" w:ascii="仿宋_GB2312" w:hAnsi="仿宋_GB2312" w:eastAsia="仿宋_GB2312" w:cs="仿宋_GB2312"/>
          <w:color w:val="auto"/>
          <w:sz w:val="32"/>
          <w:szCs w:val="32"/>
        </w:rPr>
        <w:t>评审</w:t>
      </w:r>
      <w:r>
        <w:rPr>
          <w:rFonts w:hint="eastAsia" w:ascii="仿宋_GB2312" w:hAnsi="仿宋_GB2312" w:eastAsia="仿宋_GB2312" w:cs="仿宋_GB2312"/>
          <w:color w:val="auto"/>
          <w:sz w:val="32"/>
          <w:szCs w:val="32"/>
          <w:lang w:val="en-US" w:eastAsia="zh-CN"/>
        </w:rPr>
        <w:t>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应当</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文件进行检查，确定</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文件是否</w:t>
      </w:r>
      <w:r>
        <w:rPr>
          <w:rFonts w:hint="eastAsia" w:ascii="仿宋_GB2312" w:hAnsi="仿宋_GB2312" w:eastAsia="仿宋_GB2312" w:cs="仿宋_GB2312"/>
          <w:color w:val="auto"/>
          <w:sz w:val="32"/>
          <w:szCs w:val="32"/>
          <w:lang w:val="en-US" w:eastAsia="zh-CN"/>
        </w:rPr>
        <w:t>密封</w:t>
      </w:r>
      <w:r>
        <w:rPr>
          <w:rFonts w:hint="eastAsia" w:ascii="仿宋_GB2312" w:hAnsi="仿宋_GB2312" w:eastAsia="仿宋_GB2312" w:cs="仿宋_GB2312"/>
          <w:color w:val="auto"/>
          <w:sz w:val="32"/>
          <w:szCs w:val="32"/>
        </w:rPr>
        <w:t>完整，经确认无误后，确定为有效</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w:t>
      </w:r>
    </w:p>
    <w:p w14:paraId="29BACC2B">
      <w:pPr>
        <w:keepNext w:val="0"/>
        <w:keepLines w:val="0"/>
        <w:pageBreakBefore w:val="0"/>
        <w:widowControl w:val="0"/>
        <w:kinsoku/>
        <w:wordWrap w:val="0"/>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1.5 本项目评审小组</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过程中，发现</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以他人的名义</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、串通</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、以行贿手段谋取中</w:t>
      </w:r>
      <w:r>
        <w:rPr>
          <w:rFonts w:hint="eastAsia" w:ascii="仿宋_GB2312" w:hAnsi="仿宋_GB2312" w:eastAsia="仿宋_GB2312" w:cs="仿宋_GB2312"/>
          <w:color w:val="auto"/>
          <w:sz w:val="32"/>
          <w:szCs w:val="32"/>
          <w:lang w:val="en-US" w:eastAsia="zh-CN"/>
        </w:rPr>
        <w:t>选</w:t>
      </w:r>
      <w:r>
        <w:rPr>
          <w:rFonts w:hint="eastAsia" w:ascii="仿宋_GB2312" w:hAnsi="仿宋_GB2312" w:eastAsia="仿宋_GB2312" w:cs="仿宋_GB2312"/>
          <w:color w:val="auto"/>
          <w:sz w:val="32"/>
          <w:szCs w:val="32"/>
        </w:rPr>
        <w:t>或者以其他弄虚作假方式</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的，应当否决该</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w:t>
      </w:r>
    </w:p>
    <w:p w14:paraId="6005FE9B">
      <w:pPr>
        <w:keepNext w:val="0"/>
        <w:keepLines w:val="0"/>
        <w:pageBreakBefore w:val="0"/>
        <w:widowControl w:val="0"/>
        <w:kinsoku/>
        <w:wordWrap w:val="0"/>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 本项目评审小组</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过程中，发现</w:t>
      </w:r>
      <w:r>
        <w:rPr>
          <w:rFonts w:hint="eastAsia" w:ascii="仿宋_GB2312" w:hAnsi="仿宋_GB2312" w:eastAsia="仿宋_GB2312" w:cs="仿宋_GB2312"/>
          <w:color w:val="auto"/>
          <w:sz w:val="32"/>
          <w:szCs w:val="32"/>
          <w:lang w:val="en-US" w:eastAsia="zh-CN"/>
        </w:rPr>
        <w:t>参选人的</w:t>
      </w:r>
      <w:r>
        <w:rPr>
          <w:rFonts w:hint="default" w:ascii="仿宋_GB2312" w:hAnsi="仿宋_GB2312" w:eastAsia="仿宋_GB2312" w:cs="仿宋_GB2312"/>
          <w:color w:val="auto"/>
          <w:sz w:val="32"/>
          <w:szCs w:val="32"/>
          <w:lang w:val="en-US" w:eastAsia="zh-CN"/>
        </w:rPr>
        <w:t>资格条件不符合国家有关规定和</w:t>
      </w:r>
      <w:r>
        <w:rPr>
          <w:rFonts w:hint="eastAsia" w:ascii="仿宋_GB2312" w:hAnsi="仿宋_GB2312" w:eastAsia="仿宋_GB2312" w:cs="仿宋_GB2312"/>
          <w:color w:val="auto"/>
          <w:sz w:val="32"/>
          <w:szCs w:val="32"/>
          <w:lang w:val="en-US" w:eastAsia="zh-CN"/>
        </w:rPr>
        <w:t>比选</w:t>
      </w:r>
      <w:r>
        <w:rPr>
          <w:rFonts w:hint="default" w:ascii="仿宋_GB2312" w:hAnsi="仿宋_GB2312" w:eastAsia="仿宋_GB2312" w:cs="仿宋_GB2312"/>
          <w:color w:val="auto"/>
          <w:sz w:val="32"/>
          <w:szCs w:val="32"/>
          <w:lang w:val="en-US" w:eastAsia="zh-CN"/>
        </w:rPr>
        <w:t>文件</w:t>
      </w:r>
      <w:r>
        <w:rPr>
          <w:rFonts w:hint="eastAsia" w:ascii="仿宋_GB2312" w:hAnsi="仿宋_GB2312" w:eastAsia="仿宋_GB2312" w:cs="仿宋_GB2312"/>
          <w:color w:val="auto"/>
          <w:sz w:val="32"/>
          <w:szCs w:val="32"/>
          <w:lang w:val="en-US" w:eastAsia="zh-CN"/>
        </w:rPr>
        <w:t>规定和</w:t>
      </w:r>
      <w:r>
        <w:rPr>
          <w:rFonts w:hint="default" w:ascii="仿宋_GB2312" w:hAnsi="仿宋_GB2312" w:eastAsia="仿宋_GB2312" w:cs="仿宋_GB2312"/>
          <w:color w:val="auto"/>
          <w:sz w:val="32"/>
          <w:szCs w:val="32"/>
          <w:lang w:val="en-US" w:eastAsia="zh-CN"/>
        </w:rPr>
        <w:t>要求的，或者拒不按照</w:t>
      </w:r>
      <w:r>
        <w:rPr>
          <w:rFonts w:hint="eastAsia" w:ascii="仿宋_GB2312" w:hAnsi="仿宋_GB2312" w:eastAsia="仿宋_GB2312" w:cs="仿宋_GB2312"/>
          <w:color w:val="auto"/>
          <w:sz w:val="32"/>
          <w:szCs w:val="32"/>
          <w:lang w:val="en-US" w:eastAsia="zh-CN"/>
        </w:rPr>
        <w:t>评审小组</w:t>
      </w:r>
      <w:r>
        <w:rPr>
          <w:rFonts w:hint="default" w:ascii="仿宋_GB2312" w:hAnsi="仿宋_GB2312" w:eastAsia="仿宋_GB2312" w:cs="仿宋_GB2312"/>
          <w:color w:val="auto"/>
          <w:sz w:val="32"/>
          <w:szCs w:val="32"/>
          <w:lang w:val="en-US" w:eastAsia="zh-CN"/>
        </w:rPr>
        <w:t>要求对</w:t>
      </w:r>
      <w:r>
        <w:rPr>
          <w:rFonts w:hint="eastAsia" w:ascii="仿宋_GB2312" w:hAnsi="仿宋_GB2312" w:eastAsia="仿宋_GB2312" w:cs="仿宋_GB2312"/>
          <w:color w:val="auto"/>
          <w:sz w:val="32"/>
          <w:szCs w:val="32"/>
          <w:lang w:val="en-US" w:eastAsia="zh-CN"/>
        </w:rPr>
        <w:t>比选</w:t>
      </w:r>
      <w:r>
        <w:rPr>
          <w:rFonts w:hint="default" w:ascii="仿宋_GB2312" w:hAnsi="仿宋_GB2312" w:eastAsia="仿宋_GB2312" w:cs="仿宋_GB2312"/>
          <w:color w:val="auto"/>
          <w:sz w:val="32"/>
          <w:szCs w:val="32"/>
          <w:lang w:val="en-US" w:eastAsia="zh-CN"/>
        </w:rPr>
        <w:t>文件进行澄清、说明或者补正的，</w:t>
      </w:r>
      <w:r>
        <w:rPr>
          <w:rFonts w:hint="eastAsia" w:ascii="仿宋_GB2312" w:hAnsi="仿宋_GB2312" w:eastAsia="仿宋_GB2312" w:cs="仿宋_GB2312"/>
          <w:color w:val="auto"/>
          <w:sz w:val="32"/>
          <w:szCs w:val="32"/>
          <w:lang w:val="en-US" w:eastAsia="zh-CN"/>
        </w:rPr>
        <w:t>评审小组</w:t>
      </w:r>
      <w:r>
        <w:rPr>
          <w:rFonts w:hint="eastAsia" w:ascii="仿宋_GB2312" w:hAnsi="仿宋_GB2312" w:eastAsia="仿宋_GB2312" w:cs="仿宋_GB2312"/>
          <w:color w:val="auto"/>
          <w:sz w:val="32"/>
          <w:szCs w:val="32"/>
        </w:rPr>
        <w:t>应当</w:t>
      </w:r>
      <w:r>
        <w:rPr>
          <w:rFonts w:hint="default" w:ascii="仿宋_GB2312" w:hAnsi="仿宋_GB2312" w:eastAsia="仿宋_GB2312" w:cs="仿宋_GB2312"/>
          <w:color w:val="auto"/>
          <w:sz w:val="32"/>
          <w:szCs w:val="32"/>
          <w:lang w:val="en-US" w:eastAsia="zh-CN"/>
        </w:rPr>
        <w:t>否决</w:t>
      </w:r>
      <w:r>
        <w:rPr>
          <w:rFonts w:hint="eastAsia" w:ascii="仿宋_GB2312" w:hAnsi="仿宋_GB2312" w:eastAsia="仿宋_GB2312" w:cs="仿宋_GB2312"/>
          <w:color w:val="auto"/>
          <w:sz w:val="32"/>
          <w:szCs w:val="32"/>
        </w:rPr>
        <w:t>该</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参选</w:t>
      </w:r>
      <w:r>
        <w:rPr>
          <w:rFonts w:hint="default" w:ascii="仿宋_GB2312" w:hAnsi="仿宋_GB2312" w:eastAsia="仿宋_GB2312" w:cs="仿宋_GB2312"/>
          <w:color w:val="auto"/>
          <w:sz w:val="32"/>
          <w:szCs w:val="32"/>
          <w:lang w:val="en-US" w:eastAsia="zh-CN"/>
        </w:rPr>
        <w:t>。</w:t>
      </w:r>
    </w:p>
    <w:p w14:paraId="2A403DC2">
      <w:pPr>
        <w:keepNext w:val="0"/>
        <w:keepLines w:val="0"/>
        <w:pageBreakBefore w:val="0"/>
        <w:widowControl w:val="0"/>
        <w:kinsoku/>
        <w:wordWrap w:val="0"/>
        <w:overflowPunct w:val="0"/>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1.7 本项目评审小组</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过程中，</w:t>
      </w:r>
      <w:r>
        <w:rPr>
          <w:rFonts w:hint="eastAsia" w:ascii="仿宋_GB2312" w:hAnsi="仿宋_GB2312" w:eastAsia="仿宋_GB2312" w:cs="仿宋_GB2312"/>
          <w:color w:val="auto"/>
          <w:sz w:val="32"/>
          <w:szCs w:val="32"/>
          <w:lang w:val="en-US" w:eastAsia="zh-CN"/>
        </w:rPr>
        <w:t>应当严格</w:t>
      </w:r>
      <w:r>
        <w:rPr>
          <w:rFonts w:hint="eastAsia" w:ascii="仿宋_GB2312" w:hAnsi="仿宋_GB2312" w:eastAsia="仿宋_GB2312" w:cs="仿宋_GB2312"/>
          <w:color w:val="auto"/>
          <w:sz w:val="32"/>
          <w:szCs w:val="32"/>
        </w:rPr>
        <w:t>按照</w:t>
      </w:r>
      <w:r>
        <w:rPr>
          <w:rFonts w:hint="eastAsia" w:ascii="仿宋_GB2312" w:hAnsi="仿宋_GB2312" w:eastAsia="仿宋_GB2312" w:cs="仿宋_GB2312"/>
          <w:color w:val="auto"/>
          <w:sz w:val="32"/>
          <w:szCs w:val="32"/>
          <w:lang w:val="en-US" w:eastAsia="zh-CN"/>
        </w:rPr>
        <w:t>比选文</w:t>
      </w:r>
      <w:r>
        <w:rPr>
          <w:rFonts w:hint="eastAsia" w:ascii="仿宋_GB2312" w:hAnsi="仿宋_GB2312" w:eastAsia="仿宋_GB2312" w:cs="仿宋_GB2312"/>
          <w:color w:val="auto"/>
          <w:sz w:val="32"/>
          <w:szCs w:val="32"/>
        </w:rPr>
        <w:t>件的要求逐一对有效的</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文件进行</w:t>
      </w:r>
      <w:r>
        <w:rPr>
          <w:rFonts w:hint="eastAsia" w:ascii="仿宋_GB2312" w:hAnsi="仿宋_GB2312" w:eastAsia="仿宋_GB2312" w:cs="仿宋_GB2312"/>
          <w:color w:val="auto"/>
          <w:sz w:val="32"/>
          <w:szCs w:val="32"/>
          <w:lang w:val="en-US" w:eastAsia="zh-CN"/>
        </w:rPr>
        <w:t>分项</w:t>
      </w:r>
      <w:r>
        <w:rPr>
          <w:rFonts w:hint="eastAsia" w:ascii="仿宋_GB2312" w:hAnsi="仿宋_GB2312" w:eastAsia="仿宋_GB2312" w:cs="仿宋_GB2312"/>
          <w:color w:val="auto"/>
          <w:sz w:val="32"/>
          <w:szCs w:val="32"/>
        </w:rPr>
        <w:t>评审，</w:t>
      </w:r>
      <w:r>
        <w:rPr>
          <w:rFonts w:hint="eastAsia" w:ascii="仿宋_GB2312" w:hAnsi="仿宋_GB2312" w:eastAsia="仿宋_GB2312" w:cs="仿宋_GB2312"/>
          <w:color w:val="auto"/>
          <w:sz w:val="32"/>
          <w:szCs w:val="32"/>
          <w:lang w:val="en-US" w:eastAsia="zh-CN"/>
        </w:rPr>
        <w:t>并计算出综合得分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根据综合得分，由高到低的顺序推荐前三名候选人</w:t>
      </w:r>
      <w:r>
        <w:rPr>
          <w:rFonts w:hint="eastAsia" w:ascii="仿宋_GB2312" w:hAnsi="仿宋_GB2312" w:eastAsia="仿宋_GB2312" w:cs="仿宋_GB2312"/>
          <w:color w:val="auto"/>
          <w:sz w:val="32"/>
          <w:szCs w:val="32"/>
        </w:rPr>
        <w:t>。</w:t>
      </w:r>
    </w:p>
    <w:p w14:paraId="5FBDB816">
      <w:pPr>
        <w:pageBreakBefore w:val="0"/>
        <w:kinsoku/>
        <w:wordWrap w:val="0"/>
        <w:overflowPunct w:val="0"/>
        <w:topLinePunct w:val="0"/>
        <w:autoSpaceDE/>
        <w:autoSpaceDN/>
        <w:bidi w:val="0"/>
        <w:adjustRightInd/>
        <w:spacing w:beforeAutospacing="0" w:afterAutospacing="0" w:line="560" w:lineRule="exact"/>
        <w:ind w:left="0" w:right="0" w:firstLine="640" w:firstLineChars="200"/>
        <w:jc w:val="both"/>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二、现场评审</w:t>
      </w:r>
    </w:p>
    <w:p w14:paraId="4B510D29">
      <w:pPr>
        <w:keepNext w:val="0"/>
        <w:keepLines w:val="0"/>
        <w:pageBreakBefore w:val="0"/>
        <w:widowControl w:val="0"/>
        <w:kinsoku/>
        <w:wordWrap w:val="0"/>
        <w:overflowPunct w:val="0"/>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 资格审查</w:t>
      </w:r>
    </w:p>
    <w:tbl>
      <w:tblPr>
        <w:tblStyle w:val="29"/>
        <w:tblW w:w="10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5901"/>
        <w:gridCol w:w="3120"/>
      </w:tblGrid>
      <w:tr w14:paraId="1517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8" w:type="dxa"/>
            <w:shd w:val="clear" w:color="auto" w:fill="auto"/>
            <w:vAlign w:val="center"/>
          </w:tcPr>
          <w:p w14:paraId="33C85A51">
            <w:pPr>
              <w:pStyle w:val="51"/>
              <w:keepNext w:val="0"/>
              <w:keepLines w:val="0"/>
              <w:pageBreakBefore w:val="0"/>
              <w:widowControl w:val="0"/>
              <w:kinsoku/>
              <w:wordWrap w:val="0"/>
              <w:overflowPunct w:val="0"/>
              <w:topLinePunct w:val="0"/>
              <w:autoSpaceDE/>
              <w:autoSpaceDN/>
              <w:bidi w:val="0"/>
              <w:adjustRightInd/>
              <w:snapToGrid/>
              <w:spacing w:line="560" w:lineRule="exact"/>
              <w:ind w:left="0" w:firstLine="0" w:firstLineChars="0"/>
              <w:jc w:val="center"/>
              <w:textAlignment w:val="auto"/>
              <w:rPr>
                <w:rFonts w:hint="eastAsia" w:ascii="仿宋_GB2312" w:hAnsi="仿宋_GB2312" w:eastAsia="仿宋_GB2312" w:cs="仿宋_GB2312"/>
                <w:b/>
                <w:bCs/>
                <w:color w:val="auto"/>
                <w:sz w:val="32"/>
                <w:szCs w:val="32"/>
                <w:lang w:eastAsia="zh-CN" w:bidi="ar-SA"/>
              </w:rPr>
            </w:pPr>
            <w:r>
              <w:rPr>
                <w:rFonts w:hint="eastAsia" w:ascii="仿宋_GB2312" w:hAnsi="仿宋_GB2312" w:eastAsia="仿宋_GB2312" w:cs="仿宋_GB2312"/>
                <w:b/>
                <w:bCs/>
                <w:color w:val="auto"/>
                <w:sz w:val="32"/>
                <w:szCs w:val="32"/>
                <w:lang w:eastAsia="zh-CN" w:bidi="ar-SA"/>
              </w:rPr>
              <w:t>序号</w:t>
            </w:r>
          </w:p>
        </w:tc>
        <w:tc>
          <w:tcPr>
            <w:tcW w:w="5901" w:type="dxa"/>
            <w:shd w:val="clear" w:color="auto" w:fill="auto"/>
            <w:vAlign w:val="center"/>
          </w:tcPr>
          <w:p w14:paraId="767D4123">
            <w:pPr>
              <w:pStyle w:val="51"/>
              <w:keepNext w:val="0"/>
              <w:keepLines w:val="0"/>
              <w:pageBreakBefore w:val="0"/>
              <w:widowControl w:val="0"/>
              <w:kinsoku/>
              <w:wordWrap w:val="0"/>
              <w:overflowPunct w:val="0"/>
              <w:topLinePunct w:val="0"/>
              <w:autoSpaceDE/>
              <w:autoSpaceDN/>
              <w:bidi w:val="0"/>
              <w:adjustRightInd/>
              <w:snapToGrid/>
              <w:spacing w:line="560" w:lineRule="exact"/>
              <w:ind w:left="0" w:firstLine="0" w:firstLineChars="0"/>
              <w:jc w:val="center"/>
              <w:textAlignment w:val="auto"/>
              <w:rPr>
                <w:rFonts w:hint="eastAsia" w:ascii="仿宋_GB2312" w:hAnsi="仿宋_GB2312" w:eastAsia="仿宋_GB2312" w:cs="仿宋_GB2312"/>
                <w:b/>
                <w:bCs/>
                <w:color w:val="auto"/>
                <w:sz w:val="32"/>
                <w:szCs w:val="32"/>
                <w:lang w:eastAsia="zh-CN" w:bidi="ar-SA"/>
              </w:rPr>
            </w:pPr>
            <w:r>
              <w:rPr>
                <w:rFonts w:hint="eastAsia" w:ascii="仿宋_GB2312" w:hAnsi="仿宋_GB2312" w:eastAsia="仿宋_GB2312" w:cs="仿宋_GB2312"/>
                <w:b/>
                <w:bCs/>
                <w:color w:val="auto"/>
                <w:sz w:val="32"/>
                <w:szCs w:val="32"/>
                <w:lang w:eastAsia="zh-CN" w:bidi="ar-SA"/>
              </w:rPr>
              <w:t>资格条件</w:t>
            </w:r>
          </w:p>
        </w:tc>
        <w:tc>
          <w:tcPr>
            <w:tcW w:w="3120" w:type="dxa"/>
            <w:shd w:val="clear" w:color="auto" w:fill="auto"/>
            <w:vAlign w:val="center"/>
          </w:tcPr>
          <w:p w14:paraId="6BBA8EB0">
            <w:pPr>
              <w:pStyle w:val="51"/>
              <w:keepNext w:val="0"/>
              <w:keepLines w:val="0"/>
              <w:pageBreakBefore w:val="0"/>
              <w:widowControl w:val="0"/>
              <w:kinsoku/>
              <w:wordWrap w:val="0"/>
              <w:overflowPunct w:val="0"/>
              <w:topLinePunct w:val="0"/>
              <w:autoSpaceDE/>
              <w:autoSpaceDN/>
              <w:bidi w:val="0"/>
              <w:adjustRightInd/>
              <w:snapToGrid/>
              <w:spacing w:line="560" w:lineRule="exact"/>
              <w:ind w:left="0" w:firstLine="0" w:firstLineChars="0"/>
              <w:jc w:val="center"/>
              <w:textAlignment w:val="auto"/>
              <w:rPr>
                <w:rFonts w:hint="eastAsia" w:ascii="仿宋_GB2312" w:hAnsi="仿宋_GB2312" w:eastAsia="仿宋_GB2312" w:cs="仿宋_GB2312"/>
                <w:b/>
                <w:bCs/>
                <w:color w:val="auto"/>
                <w:sz w:val="32"/>
                <w:szCs w:val="32"/>
                <w:lang w:eastAsia="zh-CN" w:bidi="ar-SA"/>
              </w:rPr>
            </w:pPr>
            <w:r>
              <w:rPr>
                <w:rFonts w:hint="eastAsia" w:ascii="仿宋_GB2312" w:hAnsi="仿宋_GB2312" w:eastAsia="仿宋_GB2312" w:cs="仿宋_GB2312"/>
                <w:b/>
                <w:bCs/>
                <w:color w:val="auto"/>
                <w:sz w:val="32"/>
                <w:szCs w:val="32"/>
                <w:lang w:val="en-US" w:eastAsia="zh-CN" w:bidi="ar-SA"/>
              </w:rPr>
              <w:t>审查</w:t>
            </w:r>
            <w:r>
              <w:rPr>
                <w:rFonts w:hint="eastAsia" w:ascii="仿宋_GB2312" w:hAnsi="仿宋_GB2312" w:eastAsia="仿宋_GB2312" w:cs="仿宋_GB2312"/>
                <w:b/>
                <w:bCs/>
                <w:color w:val="auto"/>
                <w:sz w:val="32"/>
                <w:szCs w:val="32"/>
                <w:lang w:eastAsia="zh-CN" w:bidi="ar-SA"/>
              </w:rPr>
              <w:t>要求</w:t>
            </w:r>
          </w:p>
        </w:tc>
      </w:tr>
      <w:tr w14:paraId="0F82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8" w:type="dxa"/>
            <w:shd w:val="clear" w:color="auto" w:fill="auto"/>
            <w:vAlign w:val="center"/>
          </w:tcPr>
          <w:p w14:paraId="713C5878">
            <w:pPr>
              <w:pStyle w:val="51"/>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leftChars="0"/>
              <w:jc w:val="center"/>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w:t>
            </w:r>
          </w:p>
        </w:tc>
        <w:tc>
          <w:tcPr>
            <w:tcW w:w="5901" w:type="dxa"/>
            <w:shd w:val="clear" w:color="auto" w:fill="auto"/>
            <w:vAlign w:val="center"/>
          </w:tcPr>
          <w:p w14:paraId="7D663848">
            <w:pPr>
              <w:pStyle w:val="51"/>
              <w:keepNext w:val="0"/>
              <w:keepLines w:val="0"/>
              <w:pageBreakBefore w:val="0"/>
              <w:widowControl w:val="0"/>
              <w:kinsoku/>
              <w:wordWrap w:val="0"/>
              <w:overflowPunct w:val="0"/>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color w:val="auto"/>
                <w:sz w:val="32"/>
                <w:szCs w:val="32"/>
                <w:lang w:eastAsia="zh-CN" w:bidi="ar-SA"/>
              </w:rPr>
            </w:pPr>
            <w:r>
              <w:rPr>
                <w:rFonts w:hint="eastAsia" w:ascii="仿宋_GB2312" w:hAnsi="仿宋_GB2312" w:eastAsia="仿宋_GB2312" w:cs="仿宋_GB2312"/>
                <w:color w:val="auto"/>
                <w:sz w:val="32"/>
                <w:szCs w:val="32"/>
                <w:lang w:val="en-US" w:eastAsia="zh-CN"/>
              </w:rPr>
              <w:t>参选人须是在中华人民共和国境内注册、具有独立承担民事责任能力的律师事务所，须未被列入信用中国网站(www.creditchina.gov.cn)的“失信被执行人”“重大税收违法失信主体”“政府采购严重违法失信名单”和中国政府采购网(www.ccgp.gov.cn)的“政府采购严重违法失信行为记录名单”。</w:t>
            </w:r>
          </w:p>
        </w:tc>
        <w:tc>
          <w:tcPr>
            <w:tcW w:w="3120" w:type="dxa"/>
            <w:shd w:val="clear" w:color="auto" w:fill="auto"/>
            <w:vAlign w:val="center"/>
          </w:tcPr>
          <w:p w14:paraId="62C26CEA">
            <w:pPr>
              <w:pStyle w:val="51"/>
              <w:keepNext w:val="0"/>
              <w:keepLines w:val="0"/>
              <w:pageBreakBefore w:val="0"/>
              <w:widowControl w:val="0"/>
              <w:kinsoku/>
              <w:wordWrap w:val="0"/>
              <w:overflowPunct w:val="0"/>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color w:val="auto"/>
                <w:sz w:val="32"/>
                <w:szCs w:val="32"/>
                <w:lang w:eastAsia="zh-CN" w:bidi="ar-SA"/>
              </w:rPr>
            </w:pPr>
            <w:r>
              <w:rPr>
                <w:rFonts w:hint="eastAsia" w:ascii="仿宋_GB2312" w:hAnsi="仿宋_GB2312" w:eastAsia="仿宋_GB2312" w:cs="仿宋_GB2312"/>
                <w:color w:val="auto"/>
                <w:sz w:val="32"/>
                <w:szCs w:val="32"/>
                <w:lang w:eastAsia="zh-CN" w:bidi="ar-SA"/>
              </w:rPr>
              <w:t>提供信用中国网站（www.creditchina.gov.cn）和中国政府采购网（www.ccgp.gov.cn）查询结果截图，并加盖公章</w:t>
            </w:r>
          </w:p>
        </w:tc>
      </w:tr>
      <w:tr w14:paraId="34174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1078" w:type="dxa"/>
            <w:shd w:val="clear" w:color="auto" w:fill="auto"/>
            <w:vAlign w:val="center"/>
          </w:tcPr>
          <w:p w14:paraId="00F7FDFD">
            <w:pPr>
              <w:pStyle w:val="51"/>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leftChars="0"/>
              <w:jc w:val="center"/>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2</w:t>
            </w:r>
          </w:p>
        </w:tc>
        <w:tc>
          <w:tcPr>
            <w:tcW w:w="5901" w:type="dxa"/>
            <w:shd w:val="clear" w:color="auto" w:fill="auto"/>
            <w:vAlign w:val="center"/>
          </w:tcPr>
          <w:p w14:paraId="6B01079E">
            <w:pPr>
              <w:pStyle w:val="51"/>
              <w:keepNext w:val="0"/>
              <w:keepLines w:val="0"/>
              <w:pageBreakBefore w:val="0"/>
              <w:widowControl w:val="0"/>
              <w:kinsoku/>
              <w:wordWrap w:val="0"/>
              <w:overflowPunct w:val="0"/>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color w:val="auto"/>
                <w:sz w:val="32"/>
                <w:szCs w:val="32"/>
                <w:lang w:eastAsia="zh-CN" w:bidi="ar-SA"/>
              </w:rPr>
            </w:pPr>
            <w:r>
              <w:rPr>
                <w:rFonts w:hint="eastAsia" w:ascii="仿宋_GB2312" w:hAnsi="仿宋_GB2312" w:eastAsia="仿宋_GB2312" w:cs="仿宋_GB2312"/>
                <w:color w:val="auto"/>
                <w:sz w:val="32"/>
                <w:szCs w:val="32"/>
                <w:lang w:val="en-US" w:eastAsia="zh-CN"/>
              </w:rPr>
              <w:t>参选人具有依法缴纳税收和社会保障资金的良好记录。</w:t>
            </w:r>
          </w:p>
        </w:tc>
        <w:tc>
          <w:tcPr>
            <w:tcW w:w="3120" w:type="dxa"/>
            <w:shd w:val="clear" w:color="auto" w:fill="auto"/>
            <w:vAlign w:val="center"/>
          </w:tcPr>
          <w:p w14:paraId="035B7599">
            <w:pPr>
              <w:pStyle w:val="51"/>
              <w:keepNext w:val="0"/>
              <w:keepLines w:val="0"/>
              <w:pageBreakBefore w:val="0"/>
              <w:widowControl w:val="0"/>
              <w:kinsoku/>
              <w:wordWrap w:val="0"/>
              <w:overflowPunct w:val="0"/>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color w:val="auto"/>
                <w:sz w:val="32"/>
                <w:szCs w:val="32"/>
                <w:lang w:eastAsia="zh-CN" w:bidi="ar-SA"/>
              </w:rPr>
            </w:pPr>
            <w:r>
              <w:rPr>
                <w:rFonts w:hint="eastAsia" w:ascii="仿宋_GB2312" w:hAnsi="仿宋_GB2312" w:eastAsia="仿宋_GB2312" w:cs="仿宋_GB2312"/>
                <w:color w:val="auto"/>
                <w:sz w:val="32"/>
                <w:szCs w:val="32"/>
                <w:lang w:eastAsia="zh-CN" w:bidi="ar-SA"/>
              </w:rPr>
              <w:t>提供参选时最近3个月的单位缴纳税收、拟指派执业律师的社保记录凭证（单位职工参保花名册），并加盖公章</w:t>
            </w:r>
          </w:p>
        </w:tc>
      </w:tr>
      <w:tr w14:paraId="03D6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078" w:type="dxa"/>
            <w:shd w:val="clear" w:color="auto" w:fill="auto"/>
            <w:vAlign w:val="center"/>
          </w:tcPr>
          <w:p w14:paraId="727333BB">
            <w:pPr>
              <w:pStyle w:val="51"/>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leftChars="0"/>
              <w:jc w:val="center"/>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3</w:t>
            </w:r>
          </w:p>
        </w:tc>
        <w:tc>
          <w:tcPr>
            <w:tcW w:w="5901" w:type="dxa"/>
            <w:shd w:val="clear" w:color="auto" w:fill="auto"/>
            <w:vAlign w:val="center"/>
          </w:tcPr>
          <w:p w14:paraId="47F2407A">
            <w:pPr>
              <w:pStyle w:val="51"/>
              <w:keepNext w:val="0"/>
              <w:keepLines w:val="0"/>
              <w:pageBreakBefore w:val="0"/>
              <w:widowControl w:val="0"/>
              <w:kinsoku/>
              <w:wordWrap w:val="0"/>
              <w:overflowPunct w:val="0"/>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color w:val="auto"/>
                <w:sz w:val="32"/>
                <w:szCs w:val="32"/>
                <w:lang w:eastAsia="zh-CN" w:bidi="ar-SA"/>
              </w:rPr>
            </w:pPr>
            <w:r>
              <w:rPr>
                <w:rFonts w:hint="eastAsia" w:ascii="仿宋_GB2312" w:hAnsi="仿宋_GB2312" w:eastAsia="仿宋_GB2312" w:cs="仿宋_GB2312"/>
                <w:color w:val="auto"/>
                <w:sz w:val="32"/>
                <w:szCs w:val="32"/>
                <w:lang w:val="en-US" w:eastAsia="zh-CN"/>
              </w:rPr>
              <w:t>参选人（包含拟指派执业律师）参选前三年内，在经营活动中没有重大违纪、违法记录。</w:t>
            </w:r>
          </w:p>
        </w:tc>
        <w:tc>
          <w:tcPr>
            <w:tcW w:w="3120" w:type="dxa"/>
            <w:shd w:val="clear" w:color="auto" w:fill="auto"/>
            <w:vAlign w:val="center"/>
          </w:tcPr>
          <w:p w14:paraId="5DCEED33">
            <w:pPr>
              <w:pStyle w:val="51"/>
              <w:keepNext w:val="0"/>
              <w:keepLines w:val="0"/>
              <w:pageBreakBefore w:val="0"/>
              <w:widowControl w:val="0"/>
              <w:kinsoku/>
              <w:wordWrap w:val="0"/>
              <w:overflowPunct w:val="0"/>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color w:val="auto"/>
                <w:sz w:val="32"/>
                <w:szCs w:val="32"/>
                <w:lang w:eastAsia="zh-CN" w:bidi="ar-SA"/>
              </w:rPr>
            </w:pPr>
            <w:r>
              <w:rPr>
                <w:rFonts w:hint="eastAsia" w:ascii="仿宋_GB2312" w:hAnsi="仿宋_GB2312" w:eastAsia="仿宋_GB2312" w:cs="仿宋_GB2312"/>
                <w:color w:val="auto"/>
                <w:sz w:val="32"/>
                <w:szCs w:val="32"/>
                <w:lang w:val="en-US" w:eastAsia="zh-CN"/>
              </w:rPr>
              <w:t>提供声明函，格式自拟，并加盖公章</w:t>
            </w:r>
          </w:p>
        </w:tc>
      </w:tr>
      <w:tr w14:paraId="5AE8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8" w:type="dxa"/>
            <w:shd w:val="clear" w:color="auto" w:fill="auto"/>
            <w:vAlign w:val="center"/>
          </w:tcPr>
          <w:p w14:paraId="36F43A8B">
            <w:pPr>
              <w:pStyle w:val="51"/>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leftChars="0"/>
              <w:jc w:val="center"/>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4</w:t>
            </w:r>
          </w:p>
        </w:tc>
        <w:tc>
          <w:tcPr>
            <w:tcW w:w="5901" w:type="dxa"/>
            <w:shd w:val="clear" w:color="auto" w:fill="auto"/>
            <w:vAlign w:val="center"/>
          </w:tcPr>
          <w:p w14:paraId="1205A390">
            <w:pPr>
              <w:pStyle w:val="51"/>
              <w:keepNext w:val="0"/>
              <w:keepLines w:val="0"/>
              <w:pageBreakBefore w:val="0"/>
              <w:widowControl w:val="0"/>
              <w:kinsoku/>
              <w:wordWrap w:val="0"/>
              <w:overflowPunct w:val="0"/>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color w:val="auto"/>
                <w:sz w:val="32"/>
                <w:szCs w:val="32"/>
                <w:lang w:eastAsia="zh-CN" w:bidi="ar-SA"/>
              </w:rPr>
            </w:pPr>
            <w:r>
              <w:rPr>
                <w:rFonts w:hint="eastAsia" w:ascii="仿宋_GB2312" w:hAnsi="仿宋_GB2312" w:eastAsia="仿宋_GB2312" w:cs="仿宋_GB2312"/>
                <w:color w:val="auto"/>
                <w:sz w:val="32"/>
                <w:szCs w:val="32"/>
                <w:lang w:val="en-US" w:eastAsia="zh-CN"/>
              </w:rPr>
              <w:t>参选人（包含拟指派执业律师）参选前三年内未因自身的任何违约、违法及违反职业道德的行为而导致服务合同解除或败诉，没有被投诉，未受过司法行政部门的行政处罚或律师协会的行业处分记录。</w:t>
            </w:r>
          </w:p>
        </w:tc>
        <w:tc>
          <w:tcPr>
            <w:tcW w:w="3120" w:type="dxa"/>
            <w:shd w:val="clear" w:color="auto" w:fill="auto"/>
            <w:vAlign w:val="center"/>
          </w:tcPr>
          <w:p w14:paraId="2F092169">
            <w:pPr>
              <w:pStyle w:val="51"/>
              <w:keepNext w:val="0"/>
              <w:keepLines w:val="0"/>
              <w:pageBreakBefore w:val="0"/>
              <w:widowControl w:val="0"/>
              <w:kinsoku/>
              <w:wordWrap w:val="0"/>
              <w:overflowPunct w:val="0"/>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color w:val="auto"/>
                <w:sz w:val="32"/>
                <w:szCs w:val="32"/>
                <w:lang w:eastAsia="zh-CN" w:bidi="ar-SA"/>
              </w:rPr>
            </w:pPr>
            <w:r>
              <w:rPr>
                <w:rFonts w:hint="eastAsia" w:ascii="仿宋_GB2312" w:hAnsi="仿宋_GB2312" w:eastAsia="仿宋_GB2312" w:cs="仿宋_GB2312"/>
                <w:color w:val="auto"/>
                <w:sz w:val="32"/>
                <w:szCs w:val="32"/>
                <w:lang w:val="en-US" w:eastAsia="zh-CN"/>
              </w:rPr>
              <w:t>提供声明函，格式自拟，并加盖公章</w:t>
            </w:r>
          </w:p>
        </w:tc>
      </w:tr>
      <w:tr w14:paraId="338A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8" w:type="dxa"/>
            <w:shd w:val="clear" w:color="auto" w:fill="auto"/>
            <w:vAlign w:val="center"/>
          </w:tcPr>
          <w:p w14:paraId="562BFBAF">
            <w:pPr>
              <w:pStyle w:val="51"/>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leftChars="0"/>
              <w:jc w:val="center"/>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5</w:t>
            </w:r>
          </w:p>
        </w:tc>
        <w:tc>
          <w:tcPr>
            <w:tcW w:w="5901" w:type="dxa"/>
            <w:shd w:val="clear" w:color="auto" w:fill="auto"/>
            <w:vAlign w:val="center"/>
          </w:tcPr>
          <w:p w14:paraId="5EBE1156">
            <w:pPr>
              <w:pStyle w:val="51"/>
              <w:keepNext w:val="0"/>
              <w:keepLines w:val="0"/>
              <w:pageBreakBefore w:val="0"/>
              <w:widowControl w:val="0"/>
              <w:kinsoku/>
              <w:wordWrap w:val="0"/>
              <w:overflowPunct w:val="0"/>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color w:val="auto"/>
                <w:sz w:val="32"/>
                <w:szCs w:val="32"/>
                <w:lang w:eastAsia="zh-CN" w:bidi="ar-SA"/>
              </w:rPr>
            </w:pPr>
            <w:r>
              <w:rPr>
                <w:rFonts w:hint="eastAsia" w:ascii="仿宋_GB2312" w:hAnsi="仿宋_GB2312" w:eastAsia="仿宋_GB2312" w:cs="仿宋_GB2312"/>
                <w:color w:val="auto"/>
                <w:sz w:val="32"/>
                <w:szCs w:val="32"/>
                <w:lang w:val="en-US" w:eastAsia="zh-CN"/>
              </w:rPr>
              <w:t>参选人具有良好的社会关系、资信实力、管理水平、商业信誉和健全的财务会计制度。</w:t>
            </w:r>
          </w:p>
        </w:tc>
        <w:tc>
          <w:tcPr>
            <w:tcW w:w="3120" w:type="dxa"/>
            <w:shd w:val="clear" w:color="auto" w:fill="auto"/>
            <w:vAlign w:val="center"/>
          </w:tcPr>
          <w:p w14:paraId="0A870143">
            <w:pPr>
              <w:pStyle w:val="51"/>
              <w:keepNext w:val="0"/>
              <w:keepLines w:val="0"/>
              <w:pageBreakBefore w:val="0"/>
              <w:widowControl w:val="0"/>
              <w:kinsoku/>
              <w:wordWrap w:val="0"/>
              <w:overflowPunct w:val="0"/>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color w:val="auto"/>
                <w:sz w:val="32"/>
                <w:szCs w:val="32"/>
                <w:lang w:eastAsia="zh-CN" w:bidi="ar-SA"/>
              </w:rPr>
            </w:pPr>
            <w:r>
              <w:rPr>
                <w:rFonts w:hint="eastAsia" w:ascii="仿宋_GB2312" w:hAnsi="仿宋_GB2312" w:eastAsia="仿宋_GB2312" w:cs="仿宋_GB2312"/>
                <w:color w:val="auto"/>
                <w:sz w:val="32"/>
                <w:szCs w:val="32"/>
                <w:lang w:val="en-US" w:eastAsia="zh-CN"/>
              </w:rPr>
              <w:t>提供声明函，格式自拟，并加盖公章</w:t>
            </w:r>
          </w:p>
        </w:tc>
      </w:tr>
      <w:tr w14:paraId="49892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8" w:type="dxa"/>
            <w:shd w:val="clear" w:color="auto" w:fill="auto"/>
            <w:vAlign w:val="center"/>
          </w:tcPr>
          <w:p w14:paraId="62314FF0">
            <w:pPr>
              <w:pStyle w:val="51"/>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leftChars="0"/>
              <w:jc w:val="center"/>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6</w:t>
            </w:r>
          </w:p>
        </w:tc>
        <w:tc>
          <w:tcPr>
            <w:tcW w:w="5901" w:type="dxa"/>
            <w:shd w:val="clear" w:color="auto" w:fill="auto"/>
            <w:vAlign w:val="center"/>
          </w:tcPr>
          <w:p w14:paraId="6202A79D">
            <w:pPr>
              <w:pStyle w:val="51"/>
              <w:keepNext w:val="0"/>
              <w:keepLines w:val="0"/>
              <w:pageBreakBefore w:val="0"/>
              <w:widowControl w:val="0"/>
              <w:kinsoku/>
              <w:wordWrap w:val="0"/>
              <w:overflowPunct w:val="0"/>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参选人不存在与公司存在利益冲突的情形（含诉讼、非诉讼、仲裁、投资并购等存在利益冲突的事项）。</w:t>
            </w:r>
          </w:p>
        </w:tc>
        <w:tc>
          <w:tcPr>
            <w:tcW w:w="3120" w:type="dxa"/>
            <w:shd w:val="clear" w:color="auto" w:fill="auto"/>
            <w:vAlign w:val="center"/>
          </w:tcPr>
          <w:p w14:paraId="1F73D791">
            <w:pPr>
              <w:pStyle w:val="51"/>
              <w:keepNext w:val="0"/>
              <w:keepLines w:val="0"/>
              <w:pageBreakBefore w:val="0"/>
              <w:widowControl w:val="0"/>
              <w:kinsoku/>
              <w:wordWrap w:val="0"/>
              <w:overflowPunct w:val="0"/>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color w:val="auto"/>
                <w:sz w:val="32"/>
                <w:szCs w:val="32"/>
                <w:lang w:eastAsia="zh-CN" w:bidi="ar-SA"/>
              </w:rPr>
            </w:pPr>
            <w:r>
              <w:rPr>
                <w:rFonts w:hint="eastAsia" w:ascii="仿宋_GB2312" w:hAnsi="仿宋_GB2312" w:eastAsia="仿宋_GB2312" w:cs="仿宋_GB2312"/>
                <w:color w:val="auto"/>
                <w:sz w:val="32"/>
                <w:szCs w:val="32"/>
                <w:lang w:val="en-US" w:eastAsia="zh-CN"/>
              </w:rPr>
              <w:t>提供声明函，格式自拟，并加盖公章</w:t>
            </w:r>
          </w:p>
        </w:tc>
      </w:tr>
      <w:tr w14:paraId="09E5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8" w:type="dxa"/>
            <w:shd w:val="clear" w:color="auto" w:fill="auto"/>
            <w:vAlign w:val="center"/>
          </w:tcPr>
          <w:p w14:paraId="649DAEB3">
            <w:pPr>
              <w:pStyle w:val="51"/>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leftChars="0"/>
              <w:jc w:val="center"/>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7</w:t>
            </w:r>
          </w:p>
        </w:tc>
        <w:tc>
          <w:tcPr>
            <w:tcW w:w="5901" w:type="dxa"/>
            <w:shd w:val="clear" w:color="auto" w:fill="auto"/>
            <w:vAlign w:val="center"/>
          </w:tcPr>
          <w:p w14:paraId="4C932BCE">
            <w:pPr>
              <w:pStyle w:val="51"/>
              <w:keepNext w:val="0"/>
              <w:keepLines w:val="0"/>
              <w:pageBreakBefore w:val="0"/>
              <w:widowControl w:val="0"/>
              <w:kinsoku/>
              <w:wordWrap w:val="0"/>
              <w:overflowPunct w:val="0"/>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color w:val="auto"/>
                <w:sz w:val="32"/>
                <w:szCs w:val="32"/>
                <w:lang w:eastAsia="zh-CN" w:bidi="ar-SA"/>
              </w:rPr>
            </w:pPr>
            <w:r>
              <w:rPr>
                <w:rFonts w:hint="eastAsia" w:ascii="仿宋_GB2312" w:hAnsi="仿宋_GB2312" w:eastAsia="仿宋_GB2312" w:cs="仿宋_GB2312"/>
                <w:color w:val="auto"/>
                <w:sz w:val="32"/>
                <w:szCs w:val="32"/>
                <w:lang w:eastAsia="zh-CN" w:bidi="ar-SA"/>
              </w:rPr>
              <w:t>参选人承诺提供</w:t>
            </w:r>
            <w:r>
              <w:rPr>
                <w:rFonts w:hint="eastAsia" w:ascii="仿宋_GB2312" w:hAnsi="仿宋_GB2312" w:eastAsia="仿宋_GB2312" w:cs="仿宋_GB2312"/>
                <w:color w:val="auto"/>
                <w:sz w:val="32"/>
                <w:szCs w:val="32"/>
                <w:lang w:val="en-US" w:eastAsia="zh-CN" w:bidi="ar-SA"/>
              </w:rPr>
              <w:t>法律</w:t>
            </w:r>
            <w:r>
              <w:rPr>
                <w:rFonts w:hint="eastAsia" w:ascii="仿宋_GB2312" w:hAnsi="仿宋_GB2312" w:eastAsia="仿宋_GB2312" w:cs="仿宋_GB2312"/>
                <w:color w:val="auto"/>
                <w:sz w:val="32"/>
                <w:szCs w:val="32"/>
                <w:lang w:eastAsia="zh-CN" w:bidi="ar-SA"/>
              </w:rPr>
              <w:t>服务过程中具备相应数量的服务</w:t>
            </w:r>
            <w:r>
              <w:rPr>
                <w:rFonts w:hint="eastAsia" w:ascii="仿宋_GB2312" w:hAnsi="仿宋_GB2312" w:eastAsia="仿宋_GB2312" w:cs="仿宋_GB2312"/>
                <w:color w:val="auto"/>
                <w:sz w:val="32"/>
                <w:szCs w:val="32"/>
                <w:lang w:val="en-US" w:eastAsia="zh-CN" w:bidi="ar-SA"/>
              </w:rPr>
              <w:t>团队</w:t>
            </w:r>
            <w:r>
              <w:rPr>
                <w:rFonts w:hint="eastAsia" w:ascii="仿宋_GB2312" w:hAnsi="仿宋_GB2312" w:eastAsia="仿宋_GB2312" w:cs="仿宋_GB2312"/>
                <w:color w:val="auto"/>
                <w:sz w:val="32"/>
                <w:szCs w:val="32"/>
                <w:lang w:eastAsia="zh-CN" w:bidi="ar-SA"/>
              </w:rPr>
              <w:t>人员：</w:t>
            </w:r>
            <w:r>
              <w:rPr>
                <w:rFonts w:hint="eastAsia" w:ascii="仿宋_GB2312" w:hAnsi="仿宋_GB2312" w:eastAsia="仿宋_GB2312" w:cs="仿宋_GB2312"/>
                <w:color w:val="auto"/>
                <w:sz w:val="32"/>
                <w:szCs w:val="32"/>
                <w:lang w:val="en-US" w:eastAsia="zh-CN" w:bidi="ar-SA"/>
              </w:rPr>
              <w:t>主办律师至少一名，协办律师至少两名</w:t>
            </w:r>
            <w:r>
              <w:rPr>
                <w:rFonts w:hint="eastAsia" w:ascii="仿宋_GB2312" w:hAnsi="仿宋_GB2312" w:eastAsia="仿宋_GB2312" w:cs="仿宋_GB2312"/>
                <w:color w:val="auto"/>
                <w:sz w:val="32"/>
                <w:szCs w:val="32"/>
                <w:lang w:eastAsia="zh-CN" w:bidi="ar-SA"/>
              </w:rPr>
              <w:t>。</w:t>
            </w:r>
          </w:p>
          <w:p w14:paraId="24A9EFFD">
            <w:pPr>
              <w:pStyle w:val="51"/>
              <w:keepNext w:val="0"/>
              <w:keepLines w:val="0"/>
              <w:pageBreakBefore w:val="0"/>
              <w:widowControl w:val="0"/>
              <w:kinsoku/>
              <w:wordWrap w:val="0"/>
              <w:overflowPunct w:val="0"/>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color w:val="auto"/>
                <w:sz w:val="32"/>
                <w:szCs w:val="32"/>
                <w:lang w:eastAsia="zh-CN" w:bidi="ar-SA"/>
              </w:rPr>
            </w:pPr>
            <w:r>
              <w:rPr>
                <w:rFonts w:hint="eastAsia" w:ascii="仿宋_GB2312" w:hAnsi="仿宋_GB2312" w:eastAsia="仿宋_GB2312" w:cs="仿宋_GB2312"/>
                <w:color w:val="auto"/>
                <w:sz w:val="32"/>
                <w:szCs w:val="32"/>
                <w:lang w:val="en-US" w:eastAsia="zh-CN" w:bidi="ar-SA"/>
              </w:rPr>
              <w:t>主办律师</w:t>
            </w:r>
            <w:r>
              <w:rPr>
                <w:rFonts w:hint="eastAsia" w:ascii="仿宋_GB2312" w:hAnsi="仿宋_GB2312" w:eastAsia="仿宋_GB2312" w:cs="仿宋_GB2312"/>
                <w:color w:val="auto"/>
                <w:sz w:val="32"/>
                <w:szCs w:val="32"/>
                <w:lang w:eastAsia="zh-CN" w:bidi="ar-SA"/>
              </w:rPr>
              <w:t>执业年限</w:t>
            </w:r>
            <w:r>
              <w:rPr>
                <w:rFonts w:hint="eastAsia" w:ascii="仿宋_GB2312" w:hAnsi="仿宋_GB2312" w:eastAsia="仿宋_GB2312" w:cs="仿宋_GB2312"/>
                <w:color w:val="auto"/>
                <w:sz w:val="32"/>
                <w:szCs w:val="32"/>
                <w:lang w:val="en-US" w:eastAsia="zh-CN" w:bidi="ar-SA"/>
              </w:rPr>
              <w:t>十</w:t>
            </w:r>
            <w:r>
              <w:rPr>
                <w:rFonts w:hint="eastAsia" w:ascii="仿宋_GB2312" w:hAnsi="仿宋_GB2312" w:eastAsia="仿宋_GB2312" w:cs="仿宋_GB2312"/>
                <w:color w:val="auto"/>
                <w:sz w:val="32"/>
                <w:szCs w:val="32"/>
                <w:lang w:eastAsia="zh-CN" w:bidi="ar-SA"/>
              </w:rPr>
              <w:t>年以上，具有丰富的执业经验、在相关专业领域具有较强的专业能力素养，已办理执业责任保险；</w:t>
            </w:r>
            <w:r>
              <w:rPr>
                <w:rFonts w:hint="eastAsia" w:ascii="仿宋_GB2312" w:hAnsi="仿宋_GB2312" w:eastAsia="仿宋_GB2312" w:cs="仿宋_GB2312"/>
                <w:color w:val="auto"/>
                <w:sz w:val="32"/>
                <w:szCs w:val="32"/>
                <w:lang w:val="en-US" w:eastAsia="zh-CN" w:bidi="ar-SA"/>
              </w:rPr>
              <w:t>协办律师</w:t>
            </w:r>
            <w:r>
              <w:rPr>
                <w:rFonts w:hint="eastAsia" w:ascii="仿宋_GB2312" w:hAnsi="仿宋_GB2312" w:eastAsia="仿宋_GB2312" w:cs="仿宋_GB2312"/>
                <w:color w:val="auto"/>
                <w:sz w:val="32"/>
                <w:szCs w:val="32"/>
                <w:lang w:eastAsia="zh-CN" w:bidi="ar-SA"/>
              </w:rPr>
              <w:t>执业年限</w:t>
            </w:r>
            <w:r>
              <w:rPr>
                <w:rFonts w:hint="eastAsia" w:ascii="仿宋_GB2312" w:hAnsi="仿宋_GB2312" w:eastAsia="仿宋_GB2312" w:cs="仿宋_GB2312"/>
                <w:color w:val="auto"/>
                <w:sz w:val="32"/>
                <w:szCs w:val="32"/>
                <w:lang w:val="en-US" w:eastAsia="zh-CN" w:bidi="ar-SA"/>
              </w:rPr>
              <w:t>五</w:t>
            </w:r>
            <w:r>
              <w:rPr>
                <w:rFonts w:hint="eastAsia" w:ascii="仿宋_GB2312" w:hAnsi="仿宋_GB2312" w:eastAsia="仿宋_GB2312" w:cs="仿宋_GB2312"/>
                <w:color w:val="auto"/>
                <w:sz w:val="32"/>
                <w:szCs w:val="32"/>
                <w:lang w:eastAsia="zh-CN" w:bidi="ar-SA"/>
              </w:rPr>
              <w:t>年以上，具有丰富的执业经验、在相关专业领域具有较强的专业能力素养，已办理执业责任保险。</w:t>
            </w:r>
          </w:p>
        </w:tc>
        <w:tc>
          <w:tcPr>
            <w:tcW w:w="3120" w:type="dxa"/>
            <w:shd w:val="clear" w:color="auto" w:fill="auto"/>
            <w:vAlign w:val="center"/>
          </w:tcPr>
          <w:p w14:paraId="55DB18D5">
            <w:pPr>
              <w:pStyle w:val="51"/>
              <w:keepNext w:val="0"/>
              <w:keepLines w:val="0"/>
              <w:pageBreakBefore w:val="0"/>
              <w:widowControl w:val="0"/>
              <w:kinsoku/>
              <w:wordWrap w:val="0"/>
              <w:overflowPunct w:val="0"/>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color w:val="auto"/>
                <w:sz w:val="32"/>
                <w:szCs w:val="32"/>
                <w:lang w:eastAsia="zh-CN" w:bidi="ar-SA"/>
              </w:rPr>
            </w:pPr>
            <w:r>
              <w:rPr>
                <w:rFonts w:hint="eastAsia" w:ascii="仿宋_GB2312" w:hAnsi="仿宋_GB2312" w:eastAsia="仿宋_GB2312" w:cs="仿宋_GB2312"/>
                <w:color w:val="auto"/>
                <w:sz w:val="32"/>
                <w:szCs w:val="32"/>
                <w:lang w:eastAsia="zh-CN" w:bidi="ar-SA"/>
              </w:rPr>
              <w:t>提供</w:t>
            </w:r>
            <w:r>
              <w:rPr>
                <w:rFonts w:hint="eastAsia" w:ascii="仿宋_GB2312" w:hAnsi="仿宋_GB2312" w:eastAsia="仿宋_GB2312" w:cs="仿宋_GB2312"/>
                <w:color w:val="auto"/>
                <w:sz w:val="32"/>
                <w:szCs w:val="32"/>
                <w:lang w:val="en-US" w:eastAsia="zh-CN" w:bidi="ar-SA"/>
              </w:rPr>
              <w:t>服务团队人员名单、执业证书、投保</w:t>
            </w:r>
            <w:r>
              <w:rPr>
                <w:rFonts w:hint="eastAsia" w:ascii="仿宋_GB2312" w:hAnsi="仿宋_GB2312" w:eastAsia="仿宋_GB2312" w:cs="仿宋_GB2312"/>
                <w:color w:val="auto"/>
                <w:sz w:val="32"/>
                <w:szCs w:val="32"/>
                <w:lang w:eastAsia="zh-CN" w:bidi="ar-SA"/>
              </w:rPr>
              <w:t>执业责任保险</w:t>
            </w:r>
            <w:r>
              <w:rPr>
                <w:rFonts w:hint="eastAsia" w:ascii="仿宋_GB2312" w:hAnsi="仿宋_GB2312" w:eastAsia="仿宋_GB2312" w:cs="仿宋_GB2312"/>
                <w:color w:val="auto"/>
                <w:sz w:val="32"/>
                <w:szCs w:val="32"/>
                <w:lang w:val="en-US" w:eastAsia="zh-CN" w:bidi="ar-SA"/>
              </w:rPr>
              <w:t>记录</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val="en-US" w:eastAsia="zh-CN" w:bidi="ar-SA"/>
              </w:rPr>
              <w:t>全国律师执业诚信信息公示平台（https://credit.acla.org.cn/）查询结果截图</w:t>
            </w:r>
            <w:r>
              <w:rPr>
                <w:rFonts w:hint="eastAsia" w:ascii="仿宋_GB2312" w:hAnsi="仿宋_GB2312" w:eastAsia="仿宋_GB2312" w:cs="仿宋_GB2312"/>
                <w:color w:val="auto"/>
                <w:sz w:val="32"/>
                <w:szCs w:val="32"/>
                <w:lang w:eastAsia="zh-CN" w:bidi="ar-SA"/>
              </w:rPr>
              <w:t>，并加盖公章</w:t>
            </w:r>
          </w:p>
        </w:tc>
      </w:tr>
    </w:tbl>
    <w:p w14:paraId="1E0CA477">
      <w:pPr>
        <w:rPr>
          <w:rFonts w:hint="eastAsia" w:ascii="仿宋_GB2312" w:hAnsi="仿宋_GB2312" w:eastAsia="仿宋_GB2312" w:cs="仿宋_GB2312"/>
          <w:b/>
          <w:bCs/>
          <w:color w:val="auto"/>
          <w:sz w:val="32"/>
          <w:szCs w:val="32"/>
          <w:lang w:val="en-US" w:eastAsia="zh-CN"/>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14:paraId="5BDA09E0">
      <w:pPr>
        <w:keepNext w:val="0"/>
        <w:keepLines w:val="0"/>
        <w:pageBreakBefore w:val="0"/>
        <w:widowControl w:val="0"/>
        <w:numPr>
          <w:ilvl w:val="0"/>
          <w:numId w:val="4"/>
        </w:numPr>
        <w:kinsoku/>
        <w:wordWrap w:val="0"/>
        <w:overflowPunct w:val="0"/>
        <w:topLinePunct w:val="0"/>
        <w:autoSpaceDE/>
        <w:autoSpaceDN/>
        <w:bidi w:val="0"/>
        <w:adjustRightInd/>
        <w:snapToGrid/>
        <w:spacing w:line="560" w:lineRule="exact"/>
        <w:ind w:leftChars="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综合评审</w:t>
      </w:r>
    </w:p>
    <w:tbl>
      <w:tblPr>
        <w:tblStyle w:val="29"/>
        <w:tblW w:w="139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18"/>
        <w:gridCol w:w="1538"/>
        <w:gridCol w:w="1062"/>
        <w:gridCol w:w="669"/>
        <w:gridCol w:w="9210"/>
      </w:tblGrid>
      <w:tr w14:paraId="28435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jc w:val="center"/>
        </w:trPr>
        <w:tc>
          <w:tcPr>
            <w:tcW w:w="1518" w:type="dxa"/>
            <w:vAlign w:val="center"/>
          </w:tcPr>
          <w:p w14:paraId="0643E2AD">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w:t>
            </w:r>
          </w:p>
        </w:tc>
        <w:tc>
          <w:tcPr>
            <w:tcW w:w="1538" w:type="dxa"/>
            <w:vAlign w:val="center"/>
          </w:tcPr>
          <w:p w14:paraId="63152D95">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评分内容</w:t>
            </w:r>
          </w:p>
        </w:tc>
        <w:tc>
          <w:tcPr>
            <w:tcW w:w="1062" w:type="dxa"/>
            <w:vAlign w:val="center"/>
          </w:tcPr>
          <w:p w14:paraId="0E8ACD7D">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评分因素</w:t>
            </w:r>
          </w:p>
        </w:tc>
        <w:tc>
          <w:tcPr>
            <w:tcW w:w="669" w:type="dxa"/>
            <w:vAlign w:val="center"/>
          </w:tcPr>
          <w:p w14:paraId="115D555F">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分值</w:t>
            </w:r>
          </w:p>
        </w:tc>
        <w:tc>
          <w:tcPr>
            <w:tcW w:w="9210" w:type="dxa"/>
            <w:vAlign w:val="center"/>
          </w:tcPr>
          <w:p w14:paraId="0E2AF7C7">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评分标准</w:t>
            </w:r>
          </w:p>
        </w:tc>
      </w:tr>
      <w:tr w14:paraId="47913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5" w:hRule="atLeast"/>
          <w:jc w:val="center"/>
        </w:trPr>
        <w:tc>
          <w:tcPr>
            <w:tcW w:w="1518" w:type="dxa"/>
            <w:vMerge w:val="restart"/>
            <w:vAlign w:val="center"/>
          </w:tcPr>
          <w:p w14:paraId="23F8F967">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color w:val="auto"/>
                <w:sz w:val="32"/>
                <w:szCs w:val="32"/>
              </w:rPr>
              <w:t>商务部分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40分</w:t>
            </w:r>
            <w:r>
              <w:rPr>
                <w:rFonts w:hint="eastAsia" w:ascii="仿宋_GB2312" w:hAnsi="仿宋_GB2312" w:eastAsia="仿宋_GB2312" w:cs="仿宋_GB2312"/>
                <w:color w:val="auto"/>
                <w:sz w:val="32"/>
                <w:szCs w:val="32"/>
                <w:lang w:eastAsia="zh-CN"/>
              </w:rPr>
              <w:t>）</w:t>
            </w:r>
          </w:p>
        </w:tc>
        <w:tc>
          <w:tcPr>
            <w:tcW w:w="1538" w:type="dxa"/>
            <w:vMerge w:val="restart"/>
            <w:vAlign w:val="center"/>
          </w:tcPr>
          <w:p w14:paraId="6EB59434">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律所</w:t>
            </w:r>
            <w:r>
              <w:rPr>
                <w:rFonts w:hint="eastAsia" w:ascii="仿宋_GB2312" w:hAnsi="仿宋_GB2312" w:eastAsia="仿宋_GB2312" w:cs="仿宋_GB2312"/>
                <w:color w:val="auto"/>
                <w:sz w:val="32"/>
                <w:szCs w:val="32"/>
              </w:rPr>
              <w:t>资质（</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分）</w:t>
            </w:r>
          </w:p>
        </w:tc>
        <w:tc>
          <w:tcPr>
            <w:tcW w:w="1062" w:type="dxa"/>
            <w:vAlign w:val="center"/>
          </w:tcPr>
          <w:p w14:paraId="328EF0F6">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bCs/>
                <w:color w:val="auto"/>
                <w:sz w:val="32"/>
                <w:szCs w:val="32"/>
                <w:highlight w:val="yellow"/>
              </w:rPr>
            </w:pPr>
            <w:r>
              <w:rPr>
                <w:rFonts w:hint="eastAsia" w:ascii="仿宋_GB2312" w:hAnsi="仿宋_GB2312" w:eastAsia="仿宋_GB2312" w:cs="仿宋_GB2312"/>
                <w:color w:val="auto"/>
                <w:sz w:val="32"/>
                <w:szCs w:val="32"/>
              </w:rPr>
              <w:t>律所</w:t>
            </w:r>
            <w:r>
              <w:rPr>
                <w:rFonts w:hint="eastAsia" w:ascii="仿宋_GB2312" w:hAnsi="仿宋_GB2312" w:eastAsia="仿宋_GB2312" w:cs="仿宋_GB2312"/>
                <w:color w:val="auto"/>
                <w:sz w:val="32"/>
                <w:szCs w:val="32"/>
                <w:lang w:val="en-US" w:eastAsia="zh-CN"/>
              </w:rPr>
              <w:t>成立时间</w:t>
            </w:r>
          </w:p>
        </w:tc>
        <w:tc>
          <w:tcPr>
            <w:tcW w:w="669" w:type="dxa"/>
            <w:vAlign w:val="center"/>
          </w:tcPr>
          <w:p w14:paraId="42BDCB41">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分</w:t>
            </w:r>
          </w:p>
        </w:tc>
        <w:tc>
          <w:tcPr>
            <w:tcW w:w="9210" w:type="dxa"/>
            <w:vAlign w:val="center"/>
          </w:tcPr>
          <w:p w14:paraId="5F7F5EB3">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律所成立时间满3年得1分；成立时间满4年得2分；成立时间满5年得3分；成立时间满6年得4分；成立时间满7年及以上得5分。（满分5分）</w:t>
            </w:r>
          </w:p>
          <w:p w14:paraId="451C062F">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lang w:val="en-US" w:eastAsia="zh-CN"/>
              </w:rPr>
              <w:t>注：在海南本地设立分所（独立法人）的，以分所成立时间为准。</w:t>
            </w:r>
            <w:r>
              <w:rPr>
                <w:rFonts w:hint="eastAsia" w:ascii="仿宋_GB2312" w:hAnsi="仿宋_GB2312" w:eastAsia="仿宋_GB2312" w:cs="仿宋_GB2312"/>
                <w:color w:val="auto"/>
                <w:kern w:val="2"/>
                <w:sz w:val="32"/>
                <w:szCs w:val="32"/>
                <w:lang w:val="en-US" w:eastAsia="zh-CN" w:bidi="ar-SA"/>
              </w:rPr>
              <w:t>证明材料：提供律师事务所执业许可证复印件或其他证明材料，并加盖公章。</w:t>
            </w:r>
          </w:p>
        </w:tc>
      </w:tr>
      <w:tr w14:paraId="5EF31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518" w:type="dxa"/>
            <w:vMerge w:val="continue"/>
            <w:vAlign w:val="center"/>
          </w:tcPr>
          <w:p w14:paraId="7F5FE655">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bCs/>
                <w:color w:val="auto"/>
                <w:sz w:val="32"/>
                <w:szCs w:val="32"/>
              </w:rPr>
            </w:pPr>
          </w:p>
        </w:tc>
        <w:tc>
          <w:tcPr>
            <w:tcW w:w="1538" w:type="dxa"/>
            <w:vMerge w:val="continue"/>
            <w:vAlign w:val="center"/>
          </w:tcPr>
          <w:p w14:paraId="32E5393C">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bCs/>
                <w:color w:val="auto"/>
                <w:sz w:val="32"/>
                <w:szCs w:val="32"/>
              </w:rPr>
            </w:pPr>
          </w:p>
        </w:tc>
        <w:tc>
          <w:tcPr>
            <w:tcW w:w="1062" w:type="dxa"/>
            <w:vMerge w:val="restart"/>
            <w:vAlign w:val="center"/>
          </w:tcPr>
          <w:p w14:paraId="46C53B4D">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rPr>
              <w:t>律所</w:t>
            </w:r>
            <w:r>
              <w:rPr>
                <w:rFonts w:hint="eastAsia" w:ascii="仿宋_GB2312" w:hAnsi="仿宋_GB2312" w:eastAsia="仿宋_GB2312" w:cs="仿宋_GB2312"/>
                <w:color w:val="auto"/>
                <w:sz w:val="32"/>
                <w:szCs w:val="32"/>
                <w:lang w:val="en-US" w:eastAsia="zh-CN"/>
              </w:rPr>
              <w:t>荣誉</w:t>
            </w:r>
          </w:p>
        </w:tc>
        <w:tc>
          <w:tcPr>
            <w:tcW w:w="669" w:type="dxa"/>
            <w:vAlign w:val="center"/>
          </w:tcPr>
          <w:p w14:paraId="6708B847">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5分</w:t>
            </w:r>
          </w:p>
        </w:tc>
        <w:tc>
          <w:tcPr>
            <w:tcW w:w="9210" w:type="dxa"/>
            <w:vAlign w:val="center"/>
          </w:tcPr>
          <w:p w14:paraId="304AF31F">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律所近</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年获得司法部授予全国优秀律师事务所称号的，每次得5分；近</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年获得省司法厅授予五星律师事务所或优秀律师事务所称号的，每次得2.5分。</w:t>
            </w:r>
            <w:r>
              <w:rPr>
                <w:rFonts w:hint="eastAsia" w:ascii="仿宋_GB2312" w:hAnsi="仿宋_GB2312" w:eastAsia="仿宋_GB2312" w:cs="仿宋_GB2312"/>
                <w:color w:val="auto"/>
                <w:sz w:val="32"/>
                <w:szCs w:val="32"/>
                <w:lang w:val="en-US" w:eastAsia="zh-CN"/>
              </w:rPr>
              <w:t>（满分5分</w:t>
            </w:r>
            <w:r>
              <w:rPr>
                <w:rFonts w:hint="eastAsia" w:ascii="仿宋_GB2312" w:hAnsi="仿宋_GB2312" w:eastAsia="仿宋_GB2312" w:cs="仿宋_GB2312"/>
                <w:color w:val="auto"/>
                <w:sz w:val="32"/>
                <w:szCs w:val="32"/>
              </w:rPr>
              <w:t>）</w:t>
            </w:r>
          </w:p>
          <w:p w14:paraId="6CA55744">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color w:val="auto"/>
                <w:sz w:val="32"/>
                <w:szCs w:val="32"/>
                <w:lang w:val="en-US" w:eastAsia="zh-CN"/>
              </w:rPr>
              <w:t>证明材料：</w:t>
            </w:r>
            <w:r>
              <w:rPr>
                <w:rFonts w:hint="eastAsia" w:ascii="仿宋_GB2312" w:hAnsi="仿宋_GB2312" w:eastAsia="仿宋_GB2312" w:cs="仿宋_GB2312"/>
                <w:color w:val="auto"/>
                <w:sz w:val="32"/>
                <w:szCs w:val="32"/>
              </w:rPr>
              <w:t>提供发布的获奖公示复印件</w:t>
            </w:r>
            <w:r>
              <w:rPr>
                <w:rFonts w:hint="eastAsia" w:ascii="仿宋_GB2312" w:hAnsi="仿宋_GB2312" w:eastAsia="仿宋_GB2312" w:cs="仿宋_GB2312"/>
                <w:color w:val="auto"/>
                <w:sz w:val="32"/>
                <w:szCs w:val="32"/>
                <w:lang w:val="en-US" w:eastAsia="zh-CN"/>
              </w:rPr>
              <w:t>或</w:t>
            </w:r>
            <w:r>
              <w:rPr>
                <w:rFonts w:hint="eastAsia" w:ascii="仿宋_GB2312" w:hAnsi="仿宋_GB2312" w:eastAsia="仿宋_GB2312" w:cs="仿宋_GB2312"/>
                <w:color w:val="auto"/>
                <w:sz w:val="32"/>
                <w:szCs w:val="32"/>
              </w:rPr>
              <w:t>获奖证明书等相关证明材料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eastAsia="zh-CN" w:bidi="ar-SA"/>
              </w:rPr>
              <w:t>并</w:t>
            </w:r>
            <w:r>
              <w:rPr>
                <w:rFonts w:hint="eastAsia" w:ascii="仿宋_GB2312" w:hAnsi="仿宋_GB2312" w:eastAsia="仿宋_GB2312" w:cs="仿宋_GB2312"/>
                <w:color w:val="auto"/>
                <w:sz w:val="32"/>
                <w:szCs w:val="32"/>
              </w:rPr>
              <w:t>加盖公章</w:t>
            </w:r>
            <w:r>
              <w:rPr>
                <w:rFonts w:hint="eastAsia" w:ascii="仿宋_GB2312" w:hAnsi="仿宋_GB2312" w:eastAsia="仿宋_GB2312" w:cs="仿宋_GB2312"/>
                <w:color w:val="auto"/>
                <w:sz w:val="32"/>
                <w:szCs w:val="32"/>
                <w:lang w:eastAsia="zh-CN"/>
              </w:rPr>
              <w:t>。</w:t>
            </w:r>
          </w:p>
        </w:tc>
      </w:tr>
      <w:tr w14:paraId="24BA1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518" w:type="dxa"/>
            <w:vMerge w:val="continue"/>
            <w:vAlign w:val="center"/>
          </w:tcPr>
          <w:p w14:paraId="39315313">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bCs/>
                <w:color w:val="auto"/>
                <w:sz w:val="32"/>
                <w:szCs w:val="32"/>
              </w:rPr>
            </w:pPr>
          </w:p>
        </w:tc>
        <w:tc>
          <w:tcPr>
            <w:tcW w:w="1538" w:type="dxa"/>
            <w:vMerge w:val="continue"/>
            <w:vAlign w:val="center"/>
          </w:tcPr>
          <w:p w14:paraId="028FE219">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bCs/>
                <w:color w:val="auto"/>
                <w:sz w:val="32"/>
                <w:szCs w:val="32"/>
              </w:rPr>
            </w:pPr>
          </w:p>
        </w:tc>
        <w:tc>
          <w:tcPr>
            <w:tcW w:w="1062" w:type="dxa"/>
            <w:vMerge w:val="continue"/>
            <w:vAlign w:val="center"/>
          </w:tcPr>
          <w:p w14:paraId="1253EF33">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color w:val="auto"/>
                <w:sz w:val="32"/>
                <w:szCs w:val="32"/>
                <w:highlight w:val="yellow"/>
              </w:rPr>
            </w:pPr>
          </w:p>
        </w:tc>
        <w:tc>
          <w:tcPr>
            <w:tcW w:w="669" w:type="dxa"/>
            <w:vAlign w:val="center"/>
          </w:tcPr>
          <w:p w14:paraId="3BBC669D">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5分</w:t>
            </w:r>
          </w:p>
        </w:tc>
        <w:tc>
          <w:tcPr>
            <w:tcW w:w="9210" w:type="dxa"/>
            <w:vAlign w:val="center"/>
          </w:tcPr>
          <w:p w14:paraId="3A58A82F">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律所被海南省高级人民法院列入“破产管理人”名录的，得5分。（满分5分）</w:t>
            </w:r>
          </w:p>
        </w:tc>
      </w:tr>
      <w:tr w14:paraId="2D5E7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jc w:val="center"/>
        </w:trPr>
        <w:tc>
          <w:tcPr>
            <w:tcW w:w="1518" w:type="dxa"/>
            <w:vMerge w:val="continue"/>
            <w:vAlign w:val="center"/>
          </w:tcPr>
          <w:p w14:paraId="32F7F40F">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bCs/>
                <w:color w:val="auto"/>
                <w:sz w:val="32"/>
                <w:szCs w:val="32"/>
              </w:rPr>
            </w:pPr>
          </w:p>
        </w:tc>
        <w:tc>
          <w:tcPr>
            <w:tcW w:w="1538" w:type="dxa"/>
            <w:vMerge w:val="restart"/>
            <w:vAlign w:val="center"/>
          </w:tcPr>
          <w:p w14:paraId="7E782AC2">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服务团队（</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分）</w:t>
            </w:r>
          </w:p>
        </w:tc>
        <w:tc>
          <w:tcPr>
            <w:tcW w:w="1062" w:type="dxa"/>
            <w:vAlign w:val="center"/>
          </w:tcPr>
          <w:p w14:paraId="2209E651">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rPr>
              <w:t>主办律师</w:t>
            </w:r>
          </w:p>
        </w:tc>
        <w:tc>
          <w:tcPr>
            <w:tcW w:w="669" w:type="dxa"/>
            <w:vAlign w:val="center"/>
          </w:tcPr>
          <w:p w14:paraId="5CE97E1D">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10</w:t>
            </w:r>
            <w:r>
              <w:rPr>
                <w:rFonts w:hint="eastAsia" w:ascii="仿宋_GB2312" w:hAnsi="仿宋_GB2312" w:eastAsia="仿宋_GB2312" w:cs="仿宋_GB2312"/>
                <w:b w:val="0"/>
                <w:bCs w:val="0"/>
                <w:color w:val="auto"/>
                <w:sz w:val="32"/>
                <w:szCs w:val="32"/>
              </w:rPr>
              <w:t>分</w:t>
            </w:r>
          </w:p>
        </w:tc>
        <w:tc>
          <w:tcPr>
            <w:tcW w:w="9210" w:type="dxa"/>
            <w:vAlign w:val="center"/>
          </w:tcPr>
          <w:p w14:paraId="3BFCD5D6">
            <w:pPr>
              <w:keepNext w:val="0"/>
              <w:keepLines w:val="0"/>
              <w:pageBreakBefore w:val="0"/>
              <w:widowControl w:val="0"/>
              <w:numPr>
                <w:ilvl w:val="-1"/>
                <w:numId w:val="0"/>
              </w:numPr>
              <w:kinsoku/>
              <w:wordWrap w:val="0"/>
              <w:overflowPunct w:val="0"/>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1.主办律师具有20年以上法律工作经验，得5分；具有16-20年法律工作经验的，得4分；主办律师具有13-15年法律工作经验的，得3分；主办律师具有10-12年法律工作经验的，得2分。（满分5分</w:t>
            </w:r>
            <w:r>
              <w:rPr>
                <w:rFonts w:hint="eastAsia" w:ascii="仿宋_GB2312" w:hAnsi="仿宋_GB2312" w:eastAsia="仿宋_GB2312" w:cs="仿宋_GB2312"/>
                <w:color w:val="auto"/>
                <w:sz w:val="32"/>
                <w:szCs w:val="32"/>
              </w:rPr>
              <w:t>）</w:t>
            </w:r>
          </w:p>
          <w:p w14:paraId="06597358">
            <w:pPr>
              <w:keepNext w:val="0"/>
              <w:keepLines w:val="0"/>
              <w:pageBreakBefore w:val="0"/>
              <w:widowControl w:val="0"/>
              <w:numPr>
                <w:ilvl w:val="-1"/>
                <w:numId w:val="0"/>
              </w:numPr>
              <w:kinsoku/>
              <w:wordWrap w:val="0"/>
              <w:overflowPunct w:val="0"/>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证明材料：</w:t>
            </w:r>
            <w:r>
              <w:rPr>
                <w:rFonts w:hint="eastAsia" w:ascii="仿宋_GB2312" w:hAnsi="仿宋_GB2312" w:eastAsia="仿宋_GB2312" w:cs="仿宋_GB2312"/>
                <w:color w:val="auto"/>
                <w:sz w:val="32"/>
                <w:szCs w:val="32"/>
              </w:rPr>
              <w:t>提供</w:t>
            </w:r>
            <w:r>
              <w:rPr>
                <w:rFonts w:hint="eastAsia" w:ascii="仿宋_GB2312" w:hAnsi="仿宋_GB2312" w:eastAsia="仿宋_GB2312" w:cs="仿宋_GB2312"/>
                <w:color w:val="auto"/>
                <w:sz w:val="32"/>
                <w:szCs w:val="32"/>
                <w:lang w:val="en-US" w:eastAsia="zh-CN"/>
              </w:rPr>
              <w:t>相关证明材料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eastAsia="zh-CN" w:bidi="ar-SA"/>
              </w:rPr>
              <w:t>并</w:t>
            </w:r>
            <w:r>
              <w:rPr>
                <w:rFonts w:hint="eastAsia" w:ascii="仿宋_GB2312" w:hAnsi="仿宋_GB2312" w:eastAsia="仿宋_GB2312" w:cs="仿宋_GB2312"/>
                <w:color w:val="auto"/>
                <w:sz w:val="32"/>
                <w:szCs w:val="32"/>
              </w:rPr>
              <w:t>加盖公章</w:t>
            </w:r>
            <w:r>
              <w:rPr>
                <w:rFonts w:hint="eastAsia" w:ascii="仿宋_GB2312" w:hAnsi="仿宋_GB2312" w:eastAsia="仿宋_GB2312" w:cs="仿宋_GB2312"/>
                <w:color w:val="auto"/>
                <w:sz w:val="32"/>
                <w:szCs w:val="32"/>
                <w:lang w:eastAsia="zh-CN"/>
              </w:rPr>
              <w:t>。</w:t>
            </w:r>
          </w:p>
          <w:p w14:paraId="15B51D9C">
            <w:pPr>
              <w:keepNext w:val="0"/>
              <w:keepLines w:val="0"/>
              <w:pageBreakBefore w:val="0"/>
              <w:widowControl w:val="0"/>
              <w:numPr>
                <w:ilvl w:val="-1"/>
                <w:numId w:val="0"/>
              </w:numPr>
              <w:kinsoku/>
              <w:wordWrap w:val="0"/>
              <w:overflowPunct w:val="0"/>
              <w:topLinePunct w:val="0"/>
              <w:autoSpaceDE/>
              <w:autoSpaceDN/>
              <w:bidi w:val="0"/>
              <w:adjustRightInd/>
              <w:snapToGrid/>
              <w:spacing w:line="500" w:lineRule="exact"/>
              <w:ind w:left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2.主办律师为全国或省级律协专业委员会主委，得5分；为全国或省级律协专业委员会副主委，得2.5分；主办律师为律师事务所主任，得5分；为律师事务所副主任，得2.5分。（满分5分</w:t>
            </w:r>
            <w:r>
              <w:rPr>
                <w:rFonts w:hint="eastAsia" w:ascii="仿宋_GB2312" w:hAnsi="仿宋_GB2312" w:eastAsia="仿宋_GB2312" w:cs="仿宋_GB2312"/>
                <w:color w:val="auto"/>
                <w:sz w:val="32"/>
                <w:szCs w:val="32"/>
              </w:rPr>
              <w:t>）</w:t>
            </w:r>
          </w:p>
          <w:p w14:paraId="6D977E19">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rPr>
              <w:t>证明材料：</w:t>
            </w:r>
            <w:r>
              <w:rPr>
                <w:rFonts w:hint="eastAsia" w:ascii="仿宋_GB2312" w:hAnsi="仿宋_GB2312" w:eastAsia="仿宋_GB2312" w:cs="仿宋_GB2312"/>
                <w:color w:val="auto"/>
                <w:sz w:val="32"/>
                <w:szCs w:val="32"/>
                <w:lang w:val="en-US" w:eastAsia="zh-CN"/>
              </w:rPr>
              <w:t>提供相关证明材料，并加盖公章。</w:t>
            </w:r>
          </w:p>
        </w:tc>
      </w:tr>
      <w:tr w14:paraId="1E390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jc w:val="center"/>
        </w:trPr>
        <w:tc>
          <w:tcPr>
            <w:tcW w:w="1518" w:type="dxa"/>
            <w:vMerge w:val="continue"/>
            <w:vAlign w:val="center"/>
          </w:tcPr>
          <w:p w14:paraId="3E58B75A">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bCs/>
                <w:color w:val="auto"/>
                <w:sz w:val="32"/>
                <w:szCs w:val="32"/>
              </w:rPr>
            </w:pPr>
          </w:p>
        </w:tc>
        <w:tc>
          <w:tcPr>
            <w:tcW w:w="1538" w:type="dxa"/>
            <w:vMerge w:val="continue"/>
            <w:vAlign w:val="center"/>
          </w:tcPr>
          <w:p w14:paraId="7E2580F8">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bCs/>
                <w:color w:val="auto"/>
                <w:sz w:val="32"/>
                <w:szCs w:val="32"/>
              </w:rPr>
            </w:pPr>
          </w:p>
        </w:tc>
        <w:tc>
          <w:tcPr>
            <w:tcW w:w="1062" w:type="dxa"/>
            <w:vAlign w:val="center"/>
          </w:tcPr>
          <w:p w14:paraId="3DA5B787">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val="0"/>
                <w:bCs w:val="0"/>
                <w:color w:val="auto"/>
                <w:sz w:val="32"/>
                <w:szCs w:val="32"/>
                <w:lang w:val="en-US"/>
              </w:rPr>
            </w:pPr>
            <w:r>
              <w:rPr>
                <w:rFonts w:hint="eastAsia" w:ascii="仿宋_GB2312" w:hAnsi="仿宋_GB2312" w:eastAsia="仿宋_GB2312" w:cs="仿宋_GB2312"/>
                <w:color w:val="auto"/>
                <w:sz w:val="32"/>
                <w:szCs w:val="32"/>
                <w:lang w:val="en-US" w:eastAsia="zh-CN"/>
              </w:rPr>
              <w:t>经验及业绩</w:t>
            </w:r>
          </w:p>
        </w:tc>
        <w:tc>
          <w:tcPr>
            <w:tcW w:w="669" w:type="dxa"/>
            <w:vAlign w:val="center"/>
          </w:tcPr>
          <w:p w14:paraId="22C21F65">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分</w:t>
            </w:r>
          </w:p>
        </w:tc>
        <w:tc>
          <w:tcPr>
            <w:tcW w:w="9210" w:type="dxa"/>
            <w:vAlign w:val="center"/>
          </w:tcPr>
          <w:p w14:paraId="75E430CA">
            <w:pPr>
              <w:keepNext w:val="0"/>
              <w:keepLines w:val="0"/>
              <w:pageBreakBefore w:val="0"/>
              <w:widowControl w:val="0"/>
              <w:numPr>
                <w:ilvl w:val="-1"/>
                <w:numId w:val="0"/>
              </w:numPr>
              <w:kinsoku/>
              <w:wordWrap w:val="0"/>
              <w:overflowPunct w:val="0"/>
              <w:topLinePunct w:val="0"/>
              <w:autoSpaceDE/>
              <w:autoSpaceDN/>
              <w:bidi w:val="0"/>
              <w:adjustRightInd/>
              <w:snapToGrid/>
              <w:spacing w:line="500" w:lineRule="exact"/>
              <w:ind w:leftChars="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1.自2022</w:t>
            </w:r>
            <w:r>
              <w:rPr>
                <w:rFonts w:hint="eastAsia" w:ascii="仿宋_GB2312" w:hAnsi="仿宋_GB2312" w:eastAsia="仿宋_GB2312" w:cs="仿宋_GB2312"/>
                <w:color w:val="auto"/>
                <w:sz w:val="32"/>
                <w:szCs w:val="32"/>
              </w:rPr>
              <w:t>年1月1日至今，为央企或省分公司/省重点监管企业/县处级以上机关单位提供常年法律顾问服务，按服务合同份数计算，一份得1分。（满分5分）</w:t>
            </w:r>
          </w:p>
          <w:p w14:paraId="21AF561F">
            <w:pPr>
              <w:keepNext w:val="0"/>
              <w:keepLines w:val="0"/>
              <w:pageBreakBefore w:val="0"/>
              <w:widowControl w:val="0"/>
              <w:numPr>
                <w:ilvl w:val="-1"/>
                <w:numId w:val="0"/>
              </w:numPr>
              <w:kinsoku/>
              <w:wordWrap w:val="0"/>
              <w:overflowPunct w:val="0"/>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证明材料：</w:t>
            </w:r>
            <w:r>
              <w:rPr>
                <w:rFonts w:hint="eastAsia" w:ascii="仿宋_GB2312" w:hAnsi="仿宋_GB2312" w:eastAsia="仿宋_GB2312" w:cs="仿宋_GB2312"/>
                <w:color w:val="auto"/>
                <w:sz w:val="32"/>
                <w:szCs w:val="32"/>
              </w:rPr>
              <w:t>提供</w:t>
            </w:r>
            <w:r>
              <w:rPr>
                <w:rFonts w:hint="eastAsia" w:ascii="仿宋_GB2312" w:hAnsi="仿宋_GB2312" w:eastAsia="仿宋_GB2312" w:cs="仿宋_GB2312"/>
                <w:color w:val="auto"/>
                <w:sz w:val="32"/>
                <w:szCs w:val="32"/>
                <w:lang w:val="en-US" w:eastAsia="zh-CN"/>
              </w:rPr>
              <w:t>服务团队</w:t>
            </w:r>
            <w:r>
              <w:rPr>
                <w:rFonts w:hint="eastAsia" w:ascii="仿宋_GB2312" w:hAnsi="仿宋_GB2312" w:eastAsia="仿宋_GB2312" w:cs="仿宋_GB2312"/>
                <w:color w:val="auto"/>
                <w:sz w:val="32"/>
                <w:szCs w:val="32"/>
              </w:rPr>
              <w:t>常年法律顾问合同复印件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eastAsia="zh-CN" w:bidi="ar-SA"/>
              </w:rPr>
              <w:t>并</w:t>
            </w:r>
            <w:r>
              <w:rPr>
                <w:rFonts w:hint="eastAsia" w:ascii="仿宋_GB2312" w:hAnsi="仿宋_GB2312" w:eastAsia="仿宋_GB2312" w:cs="仿宋_GB2312"/>
                <w:color w:val="auto"/>
                <w:sz w:val="32"/>
                <w:szCs w:val="32"/>
              </w:rPr>
              <w:t>加盖公章</w:t>
            </w:r>
            <w:r>
              <w:rPr>
                <w:rFonts w:hint="eastAsia" w:ascii="仿宋_GB2312" w:hAnsi="仿宋_GB2312" w:eastAsia="仿宋_GB2312" w:cs="仿宋_GB2312"/>
                <w:color w:val="auto"/>
                <w:sz w:val="32"/>
                <w:szCs w:val="32"/>
                <w:lang w:eastAsia="zh-CN"/>
              </w:rPr>
              <w:t>。</w:t>
            </w:r>
          </w:p>
          <w:p w14:paraId="6AA534A0">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2.自2022年1月1日至今，为国有企业合规体系建设、</w:t>
            </w:r>
            <w:r>
              <w:rPr>
                <w:rFonts w:hint="eastAsia" w:ascii="仿宋_GB2312" w:hAnsi="仿宋_GB2312" w:eastAsia="仿宋_GB2312" w:cs="仿宋_GB2312"/>
                <w:color w:val="auto"/>
                <w:sz w:val="32"/>
                <w:szCs w:val="32"/>
                <w:lang w:val="en-US" w:eastAsia="zh-CN"/>
              </w:rPr>
              <w:t>国有资产管理、</w:t>
            </w:r>
            <w:r>
              <w:rPr>
                <w:rFonts w:hint="eastAsia" w:ascii="仿宋_GB2312" w:hAnsi="仿宋_GB2312" w:eastAsia="仿宋_GB2312" w:cs="仿宋_GB2312"/>
                <w:color w:val="auto"/>
                <w:sz w:val="32"/>
                <w:szCs w:val="32"/>
              </w:rPr>
              <w:t>不良资产处置、企业破产重整、</w:t>
            </w:r>
            <w:r>
              <w:rPr>
                <w:rFonts w:hint="eastAsia" w:ascii="仿宋_GB2312" w:hAnsi="仿宋_GB2312" w:eastAsia="仿宋_GB2312" w:cs="仿宋_GB2312"/>
                <w:color w:val="auto"/>
                <w:sz w:val="32"/>
                <w:szCs w:val="32"/>
                <w:lang w:val="en-US" w:eastAsia="zh-CN"/>
              </w:rPr>
              <w:t>并购重组</w:t>
            </w:r>
            <w:r>
              <w:rPr>
                <w:rFonts w:hint="eastAsia" w:ascii="仿宋_GB2312" w:hAnsi="仿宋_GB2312" w:eastAsia="仿宋_GB2312" w:cs="仿宋_GB2312"/>
                <w:color w:val="auto"/>
                <w:sz w:val="32"/>
                <w:szCs w:val="32"/>
              </w:rPr>
              <w:t>等提供专项法律服务，按服务合同份数计算，一份得1分。（满分</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分）（不包含常年法律顾问服务）</w:t>
            </w:r>
          </w:p>
          <w:p w14:paraId="41B9B3BA">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证明材料：</w:t>
            </w:r>
          </w:p>
          <w:p w14:paraId="38D7A8C0">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rPr>
              <w:t>提供</w:t>
            </w:r>
            <w:r>
              <w:rPr>
                <w:rFonts w:hint="eastAsia" w:ascii="仿宋_GB2312" w:hAnsi="仿宋_GB2312" w:eastAsia="仿宋_GB2312" w:cs="仿宋_GB2312"/>
                <w:color w:val="auto"/>
                <w:sz w:val="32"/>
                <w:szCs w:val="32"/>
                <w:lang w:val="en-US" w:eastAsia="zh-CN"/>
              </w:rPr>
              <w:t>服务团队</w:t>
            </w:r>
            <w:r>
              <w:rPr>
                <w:rFonts w:hint="eastAsia" w:ascii="仿宋_GB2312" w:hAnsi="仿宋_GB2312" w:eastAsia="仿宋_GB2312" w:cs="仿宋_GB2312"/>
                <w:color w:val="auto"/>
                <w:sz w:val="32"/>
                <w:szCs w:val="32"/>
              </w:rPr>
              <w:t>律师参与上述法律服务的专项法律服务合同、判决书或其他盖章证明材料等文件作为业绩证明材料。（复印件，加盖公章）</w:t>
            </w:r>
          </w:p>
        </w:tc>
      </w:tr>
      <w:tr w14:paraId="2EFDE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jc w:val="center"/>
        </w:trPr>
        <w:tc>
          <w:tcPr>
            <w:tcW w:w="1518" w:type="dxa"/>
            <w:vAlign w:val="center"/>
          </w:tcPr>
          <w:p w14:paraId="499A8496">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技术</w:t>
            </w:r>
            <w:r>
              <w:rPr>
                <w:rFonts w:hint="eastAsia" w:ascii="仿宋_GB2312" w:hAnsi="仿宋_GB2312" w:eastAsia="仿宋_GB2312" w:cs="仿宋_GB2312"/>
                <w:color w:val="auto"/>
                <w:sz w:val="32"/>
                <w:szCs w:val="32"/>
                <w:lang w:val="en-US" w:eastAsia="zh-CN"/>
              </w:rPr>
              <w:t>部分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分）</w:t>
            </w:r>
          </w:p>
        </w:tc>
        <w:tc>
          <w:tcPr>
            <w:tcW w:w="1538" w:type="dxa"/>
            <w:vAlign w:val="center"/>
          </w:tcPr>
          <w:p w14:paraId="34E3D2B8">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bidi="ar"/>
              </w:rPr>
              <w:t>服务方案</w:t>
            </w:r>
          </w:p>
        </w:tc>
        <w:tc>
          <w:tcPr>
            <w:tcW w:w="1062" w:type="dxa"/>
            <w:vAlign w:val="center"/>
          </w:tcPr>
          <w:p w14:paraId="08110D5B">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w:t>
            </w:r>
          </w:p>
        </w:tc>
        <w:tc>
          <w:tcPr>
            <w:tcW w:w="669" w:type="dxa"/>
            <w:vAlign w:val="center"/>
          </w:tcPr>
          <w:p w14:paraId="2653DD1C">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30分</w:t>
            </w:r>
          </w:p>
        </w:tc>
        <w:tc>
          <w:tcPr>
            <w:tcW w:w="9210" w:type="dxa"/>
            <w:vAlign w:val="center"/>
          </w:tcPr>
          <w:p w14:paraId="189972EE">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律所</w:t>
            </w:r>
            <w:r>
              <w:rPr>
                <w:rFonts w:hint="eastAsia" w:ascii="仿宋_GB2312" w:hAnsi="仿宋_GB2312" w:eastAsia="仿宋_GB2312" w:cs="仿宋_GB2312"/>
                <w:color w:val="auto"/>
                <w:sz w:val="32"/>
                <w:szCs w:val="32"/>
              </w:rPr>
              <w:t>应根据</w:t>
            </w:r>
            <w:r>
              <w:rPr>
                <w:rFonts w:hint="eastAsia" w:ascii="仿宋_GB2312" w:hAnsi="仿宋_GB2312" w:eastAsia="仿宋_GB2312" w:cs="仿宋_GB2312"/>
                <w:color w:val="auto"/>
                <w:sz w:val="32"/>
                <w:szCs w:val="32"/>
                <w:lang w:val="en-US" w:eastAsia="zh-CN"/>
              </w:rPr>
              <w:t>公司经营</w:t>
            </w:r>
            <w:r>
              <w:rPr>
                <w:rFonts w:hint="eastAsia" w:ascii="仿宋_GB2312" w:hAnsi="仿宋_GB2312" w:eastAsia="仿宋_GB2312" w:cs="仿宋_GB2312"/>
                <w:color w:val="auto"/>
                <w:sz w:val="32"/>
                <w:szCs w:val="32"/>
              </w:rPr>
              <w:t>特点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重点从</w:t>
            </w:r>
            <w:r>
              <w:rPr>
                <w:rFonts w:hint="eastAsia" w:ascii="仿宋_GB2312" w:hAnsi="仿宋_GB2312" w:eastAsia="仿宋_GB2312" w:cs="仿宋_GB2312"/>
                <w:color w:val="auto"/>
                <w:sz w:val="32"/>
                <w:szCs w:val="32"/>
              </w:rPr>
              <w:t>服务方式</w:t>
            </w:r>
            <w:r>
              <w:rPr>
                <w:rFonts w:hint="eastAsia" w:ascii="仿宋_GB2312" w:hAnsi="仿宋_GB2312" w:eastAsia="仿宋_GB2312" w:cs="仿宋_GB2312"/>
                <w:color w:val="auto"/>
                <w:sz w:val="32"/>
                <w:szCs w:val="32"/>
                <w:lang w:val="en-US" w:eastAsia="zh-CN"/>
              </w:rPr>
              <w:t>和内容、</w:t>
            </w:r>
            <w:r>
              <w:rPr>
                <w:rFonts w:hint="eastAsia" w:ascii="仿宋_GB2312" w:hAnsi="仿宋_GB2312" w:eastAsia="仿宋_GB2312" w:cs="仿宋_GB2312"/>
                <w:color w:val="auto"/>
                <w:sz w:val="32"/>
                <w:szCs w:val="32"/>
              </w:rPr>
              <w:t>工作思路、</w:t>
            </w:r>
            <w:r>
              <w:rPr>
                <w:rFonts w:hint="eastAsia" w:ascii="仿宋_GB2312" w:hAnsi="仿宋_GB2312" w:eastAsia="仿宋_GB2312" w:cs="仿宋_GB2312"/>
                <w:color w:val="auto"/>
                <w:sz w:val="32"/>
                <w:szCs w:val="32"/>
                <w:lang w:val="en-US" w:eastAsia="zh-CN"/>
              </w:rPr>
              <w:t>合规风控、</w:t>
            </w:r>
            <w:r>
              <w:rPr>
                <w:rFonts w:hint="eastAsia" w:ascii="仿宋_GB2312" w:hAnsi="仿宋_GB2312" w:eastAsia="仿宋_GB2312" w:cs="仿宋_GB2312"/>
                <w:color w:val="auto"/>
                <w:sz w:val="32"/>
                <w:szCs w:val="32"/>
              </w:rPr>
              <w:t>沟通交流机制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响应时间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保密应急等</w:t>
            </w:r>
            <w:r>
              <w:rPr>
                <w:rFonts w:hint="eastAsia" w:ascii="仿宋_GB2312" w:hAnsi="仿宋_GB2312" w:eastAsia="仿宋_GB2312" w:cs="仿宋_GB2312"/>
                <w:color w:val="auto"/>
                <w:sz w:val="32"/>
                <w:szCs w:val="32"/>
              </w:rPr>
              <w:t>方面</w:t>
            </w:r>
            <w:r>
              <w:rPr>
                <w:rFonts w:hint="eastAsia" w:ascii="仿宋_GB2312" w:hAnsi="仿宋_GB2312" w:eastAsia="仿宋_GB2312" w:cs="仿宋_GB2312"/>
                <w:color w:val="auto"/>
                <w:sz w:val="32"/>
                <w:szCs w:val="32"/>
                <w:lang w:val="en-US" w:eastAsia="zh-CN"/>
              </w:rPr>
              <w:t>考量</w:t>
            </w:r>
            <w:r>
              <w:rPr>
                <w:rFonts w:hint="eastAsia" w:ascii="仿宋_GB2312" w:hAnsi="仿宋_GB2312" w:eastAsia="仿宋_GB2312" w:cs="仿宋_GB2312"/>
                <w:color w:val="auto"/>
                <w:sz w:val="32"/>
                <w:szCs w:val="32"/>
              </w:rPr>
              <w:t>，提供完整的服务方案</w:t>
            </w:r>
            <w:r>
              <w:rPr>
                <w:rFonts w:hint="eastAsia" w:ascii="仿宋_GB2312" w:hAnsi="仿宋_GB2312" w:eastAsia="仿宋_GB2312" w:cs="仿宋_GB2312"/>
                <w:color w:val="auto"/>
                <w:sz w:val="32"/>
                <w:szCs w:val="32"/>
                <w:lang w:eastAsia="zh-CN"/>
              </w:rPr>
              <w:t>。</w:t>
            </w:r>
          </w:p>
          <w:p w14:paraId="549B6FEC">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val="en-US" w:eastAsia="zh-CN"/>
              </w:rPr>
              <w:t>律所</w:t>
            </w:r>
            <w:r>
              <w:rPr>
                <w:rFonts w:hint="eastAsia" w:ascii="仿宋_GB2312" w:hAnsi="仿宋_GB2312" w:eastAsia="仿宋_GB2312" w:cs="仿宋_GB2312"/>
                <w:color w:val="auto"/>
                <w:sz w:val="32"/>
                <w:szCs w:val="32"/>
              </w:rPr>
              <w:t>提供的服务方案进行横向对比打分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分</w:t>
            </w:r>
            <w:r>
              <w:rPr>
                <w:rFonts w:hint="eastAsia" w:ascii="仿宋_GB2312" w:hAnsi="仿宋_GB2312" w:eastAsia="仿宋_GB2312" w:cs="仿宋_GB2312"/>
                <w:color w:val="000000"/>
                <w:kern w:val="0"/>
                <w:sz w:val="32"/>
                <w:szCs w:val="32"/>
                <w:lang w:val="en-US" w:eastAsia="zh-CN" w:bidi="ar"/>
              </w:rPr>
              <w:t xml:space="preserve">档评分：优得 </w:t>
            </w:r>
            <w:r>
              <w:rPr>
                <w:rFonts w:hint="eastAsia" w:ascii="仿宋_GB2312" w:hAnsi="仿宋_GB2312" w:eastAsia="仿宋_GB2312" w:cs="仿宋_GB2312"/>
                <w:color w:val="auto"/>
                <w:sz w:val="32"/>
                <w:szCs w:val="32"/>
                <w:lang w:val="en-US" w:eastAsia="zh-CN"/>
              </w:rPr>
              <w:t>30-2</w:t>
            </w: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000000"/>
                <w:kern w:val="0"/>
                <w:sz w:val="32"/>
                <w:szCs w:val="32"/>
                <w:lang w:val="en-US" w:eastAsia="zh-CN" w:bidi="ar"/>
              </w:rPr>
              <w:t xml:space="preserve">；良得 </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 xml:space="preserve">16 </w:t>
            </w:r>
            <w:r>
              <w:rPr>
                <w:rFonts w:hint="eastAsia" w:ascii="仿宋_GB2312" w:hAnsi="仿宋_GB2312" w:eastAsia="仿宋_GB2312" w:cs="仿宋_GB2312"/>
                <w:color w:val="000000"/>
                <w:kern w:val="0"/>
                <w:sz w:val="32"/>
                <w:szCs w:val="32"/>
                <w:lang w:val="en-US" w:eastAsia="zh-CN" w:bidi="ar"/>
              </w:rPr>
              <w:t xml:space="preserve">分；一般得 </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000000"/>
                <w:kern w:val="0"/>
                <w:sz w:val="32"/>
                <w:szCs w:val="32"/>
                <w:lang w:val="en-US" w:eastAsia="zh-CN" w:bidi="ar"/>
              </w:rPr>
              <w:t>分。（满分 30 分）</w:t>
            </w:r>
          </w:p>
        </w:tc>
      </w:tr>
      <w:tr w14:paraId="225E6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jc w:val="center"/>
        </w:trPr>
        <w:tc>
          <w:tcPr>
            <w:tcW w:w="1518" w:type="dxa"/>
            <w:vAlign w:val="center"/>
          </w:tcPr>
          <w:p w14:paraId="7928B89B">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价格部分（30分）</w:t>
            </w:r>
          </w:p>
        </w:tc>
        <w:tc>
          <w:tcPr>
            <w:tcW w:w="1538" w:type="dxa"/>
            <w:vAlign w:val="center"/>
          </w:tcPr>
          <w:p w14:paraId="2FDA1E6A">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服务报价</w:t>
            </w:r>
          </w:p>
        </w:tc>
        <w:tc>
          <w:tcPr>
            <w:tcW w:w="1062" w:type="dxa"/>
            <w:vAlign w:val="center"/>
          </w:tcPr>
          <w:p w14:paraId="31A6B5E2">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val="0"/>
                <w:bCs w:val="0"/>
                <w:color w:val="auto"/>
                <w:sz w:val="32"/>
                <w:szCs w:val="32"/>
                <w:lang w:val="en-US" w:eastAsia="zh-CN"/>
              </w:rPr>
              <w:t>/</w:t>
            </w:r>
          </w:p>
        </w:tc>
        <w:tc>
          <w:tcPr>
            <w:tcW w:w="669" w:type="dxa"/>
            <w:vAlign w:val="center"/>
          </w:tcPr>
          <w:p w14:paraId="24035765">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30分</w:t>
            </w:r>
          </w:p>
        </w:tc>
        <w:tc>
          <w:tcPr>
            <w:tcW w:w="9210" w:type="dxa"/>
            <w:vAlign w:val="center"/>
          </w:tcPr>
          <w:p w14:paraId="54E82741">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采用低价优先法计算报价得分，即满足比选文件要求且服务报价最低的参选报价为基准价，报价</w:t>
            </w:r>
            <w:r>
              <w:rPr>
                <w:rFonts w:hint="eastAsia" w:ascii="仿宋_GB2312" w:hAnsi="仿宋_GB2312" w:eastAsia="仿宋_GB2312" w:cs="仿宋_GB2312"/>
                <w:color w:val="000000"/>
                <w:kern w:val="0"/>
                <w:sz w:val="32"/>
                <w:szCs w:val="32"/>
                <w:lang w:val="en-US" w:eastAsia="zh-CN" w:bidi="ar"/>
              </w:rPr>
              <w:t>满</w:t>
            </w:r>
            <w:r>
              <w:rPr>
                <w:rFonts w:hint="eastAsia" w:ascii="仿宋_GB2312" w:hAnsi="仿宋_GB2312" w:eastAsia="仿宋_GB2312" w:cs="仿宋_GB2312"/>
                <w:color w:val="auto"/>
                <w:sz w:val="32"/>
                <w:szCs w:val="32"/>
                <w:lang w:val="en-US" w:eastAsia="zh-CN"/>
              </w:rPr>
              <w:t>分为30分。</w:t>
            </w:r>
          </w:p>
          <w:p w14:paraId="646A748E">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 xml:space="preserve">计算公式为：报价得分=（基准价/参选报价） </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auto"/>
                <w:sz w:val="32"/>
                <w:szCs w:val="32"/>
                <w:lang w:val="en-US" w:eastAsia="zh-CN"/>
              </w:rPr>
              <w:t xml:space="preserve"> 报价权重值30% </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auto"/>
                <w:sz w:val="32"/>
                <w:szCs w:val="32"/>
                <w:lang w:val="en-US" w:eastAsia="zh-CN"/>
              </w:rPr>
              <w:t xml:space="preserve"> 100。</w:t>
            </w:r>
          </w:p>
        </w:tc>
      </w:tr>
    </w:tbl>
    <w:p w14:paraId="2225273B">
      <w:pPr>
        <w:rPr>
          <w:rFonts w:hint="eastAsia" w:ascii="宋体" w:hAnsi="宋体"/>
          <w:color w:val="auto"/>
          <w:sz w:val="36"/>
          <w:szCs w:val="36"/>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35FCBCE2">
      <w:pPr>
        <w:pStyle w:val="2"/>
        <w:keepNext/>
        <w:keepLines/>
        <w:pageBreakBefore w:val="0"/>
        <w:widowControl w:val="0"/>
        <w:kinsoku/>
        <w:wordWrap w:val="0"/>
        <w:overflowPunct w:val="0"/>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b w:val="0"/>
          <w:bCs w:val="0"/>
          <w:color w:val="auto"/>
          <w:lang w:val="en-US" w:eastAsia="zh-CN"/>
        </w:rPr>
      </w:pPr>
      <w:bookmarkStart w:id="19" w:name="_Toc3953"/>
      <w:r>
        <w:rPr>
          <w:rFonts w:hint="eastAsia" w:ascii="黑体" w:hAnsi="黑体" w:eastAsia="黑体" w:cs="黑体"/>
          <w:b w:val="0"/>
          <w:bCs w:val="0"/>
          <w:color w:val="auto"/>
          <w:lang w:val="en-US" w:eastAsia="zh-CN"/>
        </w:rPr>
        <w:t>第四章</w:t>
      </w:r>
      <w:bookmarkEnd w:id="17"/>
      <w:bookmarkStart w:id="20" w:name="_Toc7859"/>
      <w:r>
        <w:rPr>
          <w:rFonts w:hint="eastAsia" w:ascii="黑体" w:hAnsi="黑体" w:eastAsia="黑体" w:cs="黑体"/>
          <w:b w:val="0"/>
          <w:bCs w:val="0"/>
          <w:color w:val="auto"/>
          <w:lang w:val="en-US" w:eastAsia="zh-CN"/>
        </w:rPr>
        <w:t xml:space="preserve"> 服务合同文本</w:t>
      </w:r>
      <w:bookmarkEnd w:id="18"/>
      <w:bookmarkEnd w:id="19"/>
    </w:p>
    <w:p w14:paraId="715F6AA9">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32"/>
          <w:szCs w:val="32"/>
          <w:lang w:val="en-US" w:eastAsia="zh-CN"/>
        </w:rPr>
      </w:pPr>
    </w:p>
    <w:p w14:paraId="3A388D61">
      <w:pPr>
        <w:keepNext w:val="0"/>
        <w:keepLines w:val="0"/>
        <w:pageBreakBefore w:val="0"/>
        <w:widowControl w:val="0"/>
        <w:kinsoku/>
        <w:wordWrap w:val="0"/>
        <w:overflowPunct w:val="0"/>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聘请常年法律顾问合同</w:t>
      </w:r>
    </w:p>
    <w:p w14:paraId="70BF4967">
      <w:pPr>
        <w:keepNext w:val="0"/>
        <w:keepLines w:val="0"/>
        <w:pageBreakBefore w:val="0"/>
        <w:widowControl w:val="0"/>
        <w:kinsoku/>
        <w:wordWrap w:val="0"/>
        <w:overflowPunct w:val="0"/>
        <w:topLinePunct w:val="0"/>
        <w:bidi w:val="0"/>
        <w:adjustRightInd/>
        <w:spacing w:line="560" w:lineRule="exact"/>
        <w:ind w:left="0"/>
        <w:jc w:val="both"/>
        <w:textAlignment w:val="auto"/>
        <w:rPr>
          <w:rFonts w:hint="eastAsia" w:ascii="仿宋_GB2312" w:hAnsi="仿宋_GB2312" w:eastAsia="仿宋_GB2312" w:cs="仿宋_GB2312"/>
          <w:color w:val="auto"/>
          <w:sz w:val="32"/>
          <w:szCs w:val="32"/>
        </w:rPr>
      </w:pPr>
    </w:p>
    <w:p w14:paraId="75AA26E5">
      <w:pPr>
        <w:keepNext w:val="0"/>
        <w:keepLines w:val="0"/>
        <w:pageBreakBefore w:val="0"/>
        <w:widowControl w:val="0"/>
        <w:tabs>
          <w:tab w:val="left" w:pos="6148"/>
          <w:tab w:val="left" w:pos="7893"/>
          <w:tab w:val="left" w:pos="8800"/>
        </w:tabs>
        <w:kinsoku/>
        <w:wordWrap w:val="0"/>
        <w:overflowPunct w:val="0"/>
        <w:topLinePunct w:val="0"/>
        <w:bidi w:val="0"/>
        <w:adjustRightInd/>
        <w:spacing w:line="560" w:lineRule="exact"/>
        <w:ind w:left="0" w:right="0" w:firstLine="0"/>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合同编号：</w:t>
      </w:r>
      <w:r>
        <w:rPr>
          <w:rFonts w:hint="eastAsia" w:ascii="仿宋_GB2312" w:hAnsi="仿宋_GB2312" w:eastAsia="仿宋_GB2312" w:cs="仿宋_GB2312"/>
          <w:color w:val="auto"/>
          <w:sz w:val="32"/>
          <w:szCs w:val="32"/>
          <w:lang w:val="en-US" w:eastAsia="zh-CN"/>
        </w:rPr>
        <w:t xml:space="preserve">                </w:t>
      </w:r>
    </w:p>
    <w:p w14:paraId="198F1BF0">
      <w:pPr>
        <w:keepNext w:val="0"/>
        <w:keepLines w:val="0"/>
        <w:pageBreakBefore w:val="0"/>
        <w:widowControl w:val="0"/>
        <w:kinsoku/>
        <w:wordWrap w:val="0"/>
        <w:overflowPunct w:val="0"/>
        <w:topLinePunct w:val="0"/>
        <w:bidi w:val="0"/>
        <w:adjustRightInd/>
        <w:spacing w:line="560" w:lineRule="exact"/>
        <w:ind w:left="0"/>
        <w:jc w:val="both"/>
        <w:textAlignment w:val="auto"/>
        <w:rPr>
          <w:rFonts w:hint="eastAsia" w:ascii="仿宋_GB2312" w:hAnsi="仿宋_GB2312" w:eastAsia="仿宋_GB2312" w:cs="仿宋_GB2312"/>
          <w:color w:val="auto"/>
          <w:sz w:val="32"/>
          <w:szCs w:val="32"/>
        </w:rPr>
      </w:pPr>
    </w:p>
    <w:p w14:paraId="6709EAFF">
      <w:pPr>
        <w:keepNext w:val="0"/>
        <w:keepLines w:val="0"/>
        <w:pageBreakBefore w:val="0"/>
        <w:widowControl w:val="0"/>
        <w:kinsoku/>
        <w:wordWrap w:val="0"/>
        <w:overflowPunct w:val="0"/>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聘请方（甲方）：海南联合资产管理有限公司</w:t>
      </w:r>
    </w:p>
    <w:p w14:paraId="2F1140FA">
      <w:pPr>
        <w:keepNext w:val="0"/>
        <w:keepLines w:val="0"/>
        <w:pageBreakBefore w:val="0"/>
        <w:widowControl w:val="0"/>
        <w:kinsoku/>
        <w:wordWrap w:val="0"/>
        <w:overflowPunct w:val="0"/>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受聘方（乙方）：</w:t>
      </w:r>
    </w:p>
    <w:p w14:paraId="62818BD5">
      <w:pPr>
        <w:keepNext w:val="0"/>
        <w:keepLines w:val="0"/>
        <w:pageBreakBefore w:val="0"/>
        <w:widowControl w:val="0"/>
        <w:kinsoku/>
        <w:wordWrap w:val="0"/>
        <w:overflowPunct w:val="0"/>
        <w:topLinePunct w:val="0"/>
        <w:autoSpaceDE/>
        <w:autoSpaceDN/>
        <w:bidi w:val="0"/>
        <w:adjustRightInd/>
        <w:snapToGrid w:val="0"/>
        <w:spacing w:line="560" w:lineRule="exact"/>
        <w:jc w:val="both"/>
        <w:textAlignment w:val="auto"/>
        <w:rPr>
          <w:rFonts w:hint="eastAsia" w:ascii="仿宋_GB2312" w:hAnsi="仿宋_GB2312" w:eastAsia="仿宋_GB2312" w:cs="仿宋_GB2312"/>
          <w:color w:val="auto"/>
          <w:sz w:val="32"/>
          <w:szCs w:val="32"/>
        </w:rPr>
      </w:pPr>
    </w:p>
    <w:p w14:paraId="3D622060">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根据《中华人民共和国</w:t>
      </w:r>
      <w:r>
        <w:rPr>
          <w:rFonts w:hint="eastAsia" w:ascii="仿宋_GB2312" w:hAnsi="仿宋_GB2312" w:eastAsia="仿宋_GB2312" w:cs="仿宋_GB2312"/>
          <w:color w:val="auto"/>
          <w:sz w:val="32"/>
          <w:szCs w:val="32"/>
          <w:lang w:val="en-US" w:eastAsia="zh-CN"/>
        </w:rPr>
        <w:t>民法典</w:t>
      </w:r>
      <w:r>
        <w:rPr>
          <w:rFonts w:hint="eastAsia" w:ascii="仿宋_GB2312" w:hAnsi="仿宋_GB2312" w:eastAsia="仿宋_GB2312" w:cs="仿宋_GB2312"/>
          <w:color w:val="auto"/>
          <w:sz w:val="32"/>
          <w:szCs w:val="32"/>
        </w:rPr>
        <w:t>》、《中华人民共和国律师法》及其他有关法律的规定，甲方因业务发展和维护自身合法权益的需要，聘请乙方律师作为常年法律顾问。双方按照诚实信用原则，经协商一致，立此合同，共同遵守。</w:t>
      </w:r>
    </w:p>
    <w:p w14:paraId="1D79005A">
      <w:pPr>
        <w:keepNext w:val="0"/>
        <w:keepLines w:val="0"/>
        <w:pageBreakBefore w:val="0"/>
        <w:widowControl w:val="0"/>
        <w:kinsoku/>
        <w:wordWrap w:val="0"/>
        <w:overflowPunct w:val="0"/>
        <w:topLinePunct w:val="0"/>
        <w:autoSpaceDE/>
        <w:autoSpaceDN/>
        <w:bidi w:val="0"/>
        <w:adjustRightInd/>
        <w:snapToGrid w:val="0"/>
        <w:spacing w:line="560" w:lineRule="exact"/>
        <w:ind w:left="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乙方的服务范围</w:t>
      </w:r>
    </w:p>
    <w:p w14:paraId="3C76638A">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（一）乙方</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甲方</w:t>
      </w:r>
      <w:r>
        <w:rPr>
          <w:rFonts w:hint="eastAsia" w:ascii="仿宋_GB2312" w:hAnsi="仿宋_GB2312" w:eastAsia="仿宋_GB2312" w:cs="仿宋_GB2312"/>
          <w:color w:val="auto"/>
          <w:sz w:val="32"/>
          <w:szCs w:val="32"/>
        </w:rPr>
        <w:t>提供的法律服务内容：</w:t>
      </w:r>
    </w:p>
    <w:p w14:paraId="43B0FC4C">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1.为甲方日常事务提供法律咨询，解答法律问题，并应甲方要求出具相应的法律意见书及律师函等；</w:t>
      </w:r>
    </w:p>
    <w:p w14:paraId="7FE97AEB">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2.起草、审查甲方经营活动涉及的相关协议、合同、法律文书；</w:t>
      </w:r>
    </w:p>
    <w:p w14:paraId="4C8BD4EC">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3.为甲方重大经营决策事项提供法律意见，出具法律意见书；</w:t>
      </w:r>
    </w:p>
    <w:p w14:paraId="6D28FB59">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4.为甲方报送省国资委审核、批准或备案，需要外聘法律顾问出具法律意见书的事项出具法律意见书；</w:t>
      </w:r>
    </w:p>
    <w:p w14:paraId="1010B508">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5.为甲方制定修改公司章程、内部规章制度等提供法律意见，出具法律意见书；</w:t>
      </w:r>
    </w:p>
    <w:p w14:paraId="4AED0EB5">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6.协助甲方健全经营管理规章制度；</w:t>
      </w:r>
    </w:p>
    <w:p w14:paraId="2C7D4958">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7.全面梳理、审核甲方常用合同，建立健全合同模板库；</w:t>
      </w:r>
    </w:p>
    <w:p w14:paraId="39DE07AD">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2"/>
          <w:sz w:val="32"/>
          <w:szCs w:val="32"/>
          <w:lang w:val="en-US" w:eastAsia="zh-CN" w:bidi="ar-SA"/>
        </w:rPr>
        <w:t>8</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sz w:val="32"/>
          <w:szCs w:val="32"/>
          <w:lang w:eastAsia="zh-CN"/>
        </w:rPr>
        <w:t>参与</w:t>
      </w:r>
      <w:r>
        <w:rPr>
          <w:rFonts w:hint="eastAsia" w:ascii="仿宋_GB2312" w:hAnsi="仿宋_GB2312" w:eastAsia="仿宋_GB2312" w:cs="仿宋_GB2312"/>
          <w:color w:val="auto"/>
          <w:sz w:val="32"/>
          <w:szCs w:val="32"/>
          <w:lang w:val="en-US" w:eastAsia="zh-CN"/>
        </w:rPr>
        <w:t>磋商、业务谈判，法律纠纷的谈判、协商、调解及风险事件的处置等</w:t>
      </w:r>
      <w:r>
        <w:rPr>
          <w:rFonts w:hint="eastAsia" w:ascii="仿宋_GB2312" w:hAnsi="仿宋_GB2312" w:eastAsia="仿宋_GB2312" w:cs="仿宋_GB2312"/>
          <w:color w:val="auto"/>
          <w:sz w:val="32"/>
          <w:szCs w:val="32"/>
          <w:lang w:eastAsia="zh-CN"/>
        </w:rPr>
        <w:t>；</w:t>
      </w:r>
    </w:p>
    <w:p w14:paraId="642058BB">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2"/>
          <w:sz w:val="32"/>
          <w:szCs w:val="32"/>
          <w:lang w:val="en-US" w:eastAsia="zh-CN" w:bidi="ar-SA"/>
        </w:rPr>
        <w:t>9</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sz w:val="32"/>
          <w:szCs w:val="32"/>
          <w:lang w:val="en-US" w:eastAsia="zh-CN"/>
        </w:rPr>
        <w:t>就甲方</w:t>
      </w:r>
      <w:r>
        <w:rPr>
          <w:rFonts w:hint="eastAsia" w:ascii="仿宋_GB2312" w:hAnsi="仿宋_GB2312" w:eastAsia="仿宋_GB2312" w:cs="仿宋_GB2312"/>
          <w:color w:val="auto"/>
          <w:sz w:val="32"/>
          <w:szCs w:val="32"/>
          <w:lang w:eastAsia="zh-CN"/>
        </w:rPr>
        <w:t>重大事项或重大案件</w:t>
      </w:r>
      <w:r>
        <w:rPr>
          <w:rFonts w:hint="eastAsia" w:ascii="仿宋_GB2312" w:hAnsi="仿宋_GB2312" w:eastAsia="仿宋_GB2312" w:cs="仿宋_GB2312"/>
          <w:color w:val="auto"/>
          <w:sz w:val="32"/>
          <w:szCs w:val="32"/>
          <w:lang w:val="en-US" w:eastAsia="zh-CN"/>
        </w:rPr>
        <w:t>进行研讨</w:t>
      </w:r>
      <w:r>
        <w:rPr>
          <w:rFonts w:hint="eastAsia" w:ascii="仿宋_GB2312" w:hAnsi="仿宋_GB2312" w:eastAsia="仿宋_GB2312" w:cs="仿宋_GB2312"/>
          <w:color w:val="auto"/>
          <w:sz w:val="32"/>
          <w:szCs w:val="32"/>
          <w:lang w:eastAsia="zh-CN"/>
        </w:rPr>
        <w:t>分</w:t>
      </w:r>
      <w:r>
        <w:rPr>
          <w:rFonts w:hint="eastAsia" w:ascii="仿宋_GB2312" w:hAnsi="仿宋_GB2312" w:eastAsia="仿宋_GB2312" w:cs="仿宋_GB2312"/>
          <w:color w:val="auto"/>
          <w:sz w:val="32"/>
          <w:szCs w:val="32"/>
          <w:lang w:val="en-US" w:eastAsia="zh-CN"/>
        </w:rPr>
        <w:t>析，从法律角度提出参考意见等</w:t>
      </w:r>
      <w:r>
        <w:rPr>
          <w:rFonts w:hint="eastAsia" w:ascii="仿宋_GB2312" w:hAnsi="仿宋_GB2312" w:eastAsia="仿宋_GB2312" w:cs="仿宋_GB2312"/>
          <w:color w:val="auto"/>
          <w:sz w:val="32"/>
          <w:szCs w:val="32"/>
          <w:lang w:eastAsia="zh-CN"/>
        </w:rPr>
        <w:t>；</w:t>
      </w:r>
    </w:p>
    <w:p w14:paraId="573C9DF3">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2"/>
          <w:sz w:val="32"/>
          <w:szCs w:val="32"/>
          <w:lang w:val="en-US" w:eastAsia="zh-CN" w:bidi="ar-SA"/>
        </w:rPr>
        <w:t>10</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sz w:val="32"/>
          <w:szCs w:val="32"/>
          <w:lang w:val="en-US" w:eastAsia="zh-CN"/>
        </w:rPr>
        <w:t>根据需要列席甲方股东会、董事会、总办会等会议</w:t>
      </w:r>
      <w:r>
        <w:rPr>
          <w:rFonts w:hint="eastAsia" w:ascii="仿宋_GB2312" w:hAnsi="仿宋_GB2312" w:eastAsia="仿宋_GB2312" w:cs="仿宋_GB2312"/>
          <w:color w:val="auto"/>
          <w:sz w:val="32"/>
          <w:szCs w:val="32"/>
          <w:lang w:eastAsia="zh-CN"/>
        </w:rPr>
        <w:t>；</w:t>
      </w:r>
    </w:p>
    <w:p w14:paraId="7F0B203D">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11.协助甲方开展法治宣传教育、培训；</w:t>
      </w:r>
    </w:p>
    <w:p w14:paraId="3ED179E2">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12.需要参与的其他涉法事务。</w:t>
      </w:r>
    </w:p>
    <w:p w14:paraId="7BD89C78">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上述服务范围不包括甲方涉及民事、行政、刑事等进入诉讼或者行政复议、</w:t>
      </w:r>
      <w:r>
        <w:rPr>
          <w:rFonts w:hint="eastAsia" w:ascii="仿宋_GB2312" w:hAnsi="仿宋_GB2312" w:eastAsia="仿宋_GB2312" w:cs="仿宋_GB2312"/>
          <w:color w:val="auto"/>
          <w:sz w:val="32"/>
          <w:szCs w:val="32"/>
          <w:lang w:val="en-US" w:eastAsia="zh-CN"/>
        </w:rPr>
        <w:t>劳动、商事</w:t>
      </w:r>
      <w:r>
        <w:rPr>
          <w:rFonts w:hint="eastAsia" w:ascii="仿宋_GB2312" w:hAnsi="仿宋_GB2312" w:eastAsia="仿宋_GB2312" w:cs="仿宋_GB2312"/>
          <w:color w:val="auto"/>
          <w:sz w:val="32"/>
          <w:szCs w:val="32"/>
        </w:rPr>
        <w:t>仲裁等程序的</w:t>
      </w:r>
      <w:r>
        <w:rPr>
          <w:rFonts w:hint="eastAsia" w:ascii="仿宋_GB2312" w:hAnsi="仿宋_GB2312" w:eastAsia="仿宋_GB2312" w:cs="仿宋_GB2312"/>
          <w:color w:val="auto"/>
          <w:sz w:val="32"/>
          <w:szCs w:val="32"/>
          <w:lang w:val="en-US" w:eastAsia="zh-CN"/>
        </w:rPr>
        <w:t>法律</w:t>
      </w:r>
      <w:r>
        <w:rPr>
          <w:rFonts w:hint="eastAsia" w:ascii="仿宋_GB2312" w:hAnsi="仿宋_GB2312" w:eastAsia="仿宋_GB2312" w:cs="仿宋_GB2312"/>
          <w:color w:val="auto"/>
          <w:sz w:val="32"/>
          <w:szCs w:val="32"/>
        </w:rPr>
        <w:t>事务，如甲方需要，双方另行协商与签约。</w:t>
      </w:r>
    </w:p>
    <w:p w14:paraId="6D360633">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三）乙方应当按照甲方相关规定，向甲方提交《法律服务工作报告》，工作报告的主要内容包括：聘请期间的各类法律服务事项（大致内容、次数、时长），发现的法律问题及提出的建议，对下一步工作的计划等。</w:t>
      </w:r>
    </w:p>
    <w:p w14:paraId="48A7966A">
      <w:pPr>
        <w:keepNext w:val="0"/>
        <w:keepLines w:val="0"/>
        <w:pageBreakBefore w:val="0"/>
        <w:widowControl w:val="0"/>
        <w:kinsoku/>
        <w:wordWrap w:val="0"/>
        <w:overflowPunct w:val="0"/>
        <w:topLinePunct w:val="0"/>
        <w:autoSpaceDE/>
        <w:autoSpaceDN/>
        <w:bidi w:val="0"/>
        <w:adjustRightInd/>
        <w:snapToGrid w:val="0"/>
        <w:spacing w:line="560" w:lineRule="exact"/>
        <w:ind w:left="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第二条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甲方的权利和义务</w:t>
      </w:r>
    </w:p>
    <w:p w14:paraId="6CFA2099">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2.1 </w:t>
      </w:r>
      <w:r>
        <w:rPr>
          <w:rFonts w:hint="eastAsia" w:ascii="仿宋_GB2312" w:hAnsi="仿宋_GB2312" w:eastAsia="仿宋_GB2312" w:cs="仿宋_GB2312"/>
          <w:color w:val="auto"/>
          <w:sz w:val="32"/>
          <w:szCs w:val="32"/>
        </w:rPr>
        <w:t>甲方应当真实、客观、全面地向乙方提供与常年法律顾问业务有关的各种文件、资料，并介绍有关情况；除紧急事务外，甲方应当提前向常年法律顾问通报，以保证其有合理的准备时间。</w:t>
      </w:r>
    </w:p>
    <w:p w14:paraId="5FA1C0A4">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2.2 </w:t>
      </w:r>
      <w:r>
        <w:rPr>
          <w:rFonts w:hint="eastAsia" w:ascii="仿宋_GB2312" w:hAnsi="仿宋_GB2312" w:eastAsia="仿宋_GB2312" w:cs="仿宋_GB2312"/>
          <w:color w:val="auto"/>
          <w:sz w:val="32"/>
          <w:szCs w:val="32"/>
        </w:rPr>
        <w:t>甲方应当为常年法律顾问办理法律事务提出明确具体、合法合理的要求；不得要求常年法律顾问进行违法或者有违律师执业规范的活动。</w:t>
      </w:r>
    </w:p>
    <w:p w14:paraId="5BD0B93D">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2.3 </w:t>
      </w:r>
      <w:r>
        <w:rPr>
          <w:rFonts w:hint="eastAsia" w:ascii="仿宋_GB2312" w:hAnsi="仿宋_GB2312" w:eastAsia="仿宋_GB2312" w:cs="仿宋_GB2312"/>
          <w:color w:val="auto"/>
          <w:sz w:val="32"/>
          <w:szCs w:val="32"/>
        </w:rPr>
        <w:t>甲方应当依约按时、足额地向乙方支付法律顾问费。</w:t>
      </w:r>
    </w:p>
    <w:p w14:paraId="70B8B1C8">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2.4 </w:t>
      </w:r>
      <w:r>
        <w:rPr>
          <w:rFonts w:hint="eastAsia" w:ascii="仿宋_GB2312" w:hAnsi="仿宋_GB2312" w:eastAsia="仿宋_GB2312" w:cs="仿宋_GB2312"/>
          <w:color w:val="auto"/>
          <w:sz w:val="32"/>
          <w:szCs w:val="32"/>
        </w:rPr>
        <w:t>甲方有权要求乙方及时更换在服务过程中工作不负责任、或不适合办理甲方委托</w:t>
      </w:r>
      <w:r>
        <w:rPr>
          <w:rFonts w:hint="eastAsia" w:ascii="仿宋_GB2312" w:hAnsi="仿宋_GB2312" w:eastAsia="仿宋_GB2312" w:cs="仿宋_GB2312"/>
          <w:color w:val="auto"/>
          <w:sz w:val="32"/>
          <w:szCs w:val="32"/>
          <w:lang w:val="en-US" w:eastAsia="zh-CN"/>
        </w:rPr>
        <w:t>事项</w:t>
      </w:r>
      <w:r>
        <w:rPr>
          <w:rFonts w:hint="eastAsia" w:ascii="仿宋_GB2312" w:hAnsi="仿宋_GB2312" w:eastAsia="仿宋_GB2312" w:cs="仿宋_GB2312"/>
          <w:color w:val="auto"/>
          <w:sz w:val="32"/>
          <w:szCs w:val="32"/>
        </w:rPr>
        <w:t>的乙方律师担任常年法律顾问。</w:t>
      </w:r>
    </w:p>
    <w:p w14:paraId="192A214F">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2.5 </w:t>
      </w:r>
      <w:r>
        <w:rPr>
          <w:rFonts w:hint="eastAsia" w:ascii="仿宋_GB2312" w:hAnsi="仿宋_GB2312" w:eastAsia="仿宋_GB2312" w:cs="仿宋_GB2312"/>
          <w:color w:val="auto"/>
          <w:sz w:val="32"/>
          <w:szCs w:val="32"/>
        </w:rPr>
        <w:t>甲方有权要求乙方</w:t>
      </w:r>
      <w:r>
        <w:rPr>
          <w:rFonts w:hint="eastAsia" w:ascii="仿宋_GB2312" w:hAnsi="仿宋_GB2312" w:eastAsia="仿宋_GB2312" w:cs="仿宋_GB2312"/>
          <w:color w:val="auto"/>
          <w:sz w:val="32"/>
          <w:szCs w:val="32"/>
          <w:lang w:val="en-US" w:eastAsia="zh-CN"/>
        </w:rPr>
        <w:t>提供</w:t>
      </w:r>
      <w:r>
        <w:rPr>
          <w:rFonts w:hint="eastAsia" w:ascii="仿宋_GB2312" w:hAnsi="仿宋_GB2312" w:eastAsia="仿宋_GB2312" w:cs="仿宋_GB2312"/>
          <w:color w:val="auto"/>
          <w:sz w:val="32"/>
          <w:szCs w:val="32"/>
        </w:rPr>
        <w:t>与常年法律顾问工作相关的材料，但法律法规和律师执业规范规定应当保密的材料除外。</w:t>
      </w:r>
    </w:p>
    <w:p w14:paraId="4A809F81">
      <w:pPr>
        <w:keepNext w:val="0"/>
        <w:keepLines w:val="0"/>
        <w:pageBreakBefore w:val="0"/>
        <w:widowControl w:val="0"/>
        <w:kinsoku/>
        <w:wordWrap w:val="0"/>
        <w:overflowPunct w:val="0"/>
        <w:topLinePunct w:val="0"/>
        <w:autoSpaceDE/>
        <w:autoSpaceDN/>
        <w:bidi w:val="0"/>
        <w:adjustRightInd/>
        <w:snapToGrid w:val="0"/>
        <w:spacing w:line="560" w:lineRule="exact"/>
        <w:ind w:left="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第三条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乙方的权利和义务</w:t>
      </w:r>
    </w:p>
    <w:p w14:paraId="5ADF7C0D">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3.1 </w:t>
      </w:r>
      <w:r>
        <w:rPr>
          <w:rFonts w:hint="eastAsia" w:ascii="仿宋_GB2312" w:hAnsi="仿宋_GB2312" w:eastAsia="仿宋_GB2312" w:cs="仿宋_GB2312"/>
          <w:color w:val="auto"/>
          <w:sz w:val="32"/>
          <w:szCs w:val="32"/>
        </w:rPr>
        <w:t>乙方指派</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律师作为甲方常年法律顾问。</w:t>
      </w:r>
    </w:p>
    <w:p w14:paraId="214E7098">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3.1.1 </w:t>
      </w:r>
      <w:r>
        <w:rPr>
          <w:rFonts w:hint="eastAsia" w:ascii="仿宋_GB2312" w:hAnsi="仿宋_GB2312" w:eastAsia="仿宋_GB2312" w:cs="仿宋_GB2312"/>
          <w:color w:val="auto"/>
          <w:sz w:val="32"/>
          <w:szCs w:val="32"/>
        </w:rPr>
        <w:t>乙方指派的律师因故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仅限于注销律师执业证、自行</w:t>
      </w:r>
      <w:r>
        <w:rPr>
          <w:rFonts w:hint="eastAsia" w:ascii="仿宋_GB2312" w:hAnsi="仿宋_GB2312" w:eastAsia="仿宋_GB2312" w:cs="仿宋_GB2312"/>
          <w:color w:val="auto"/>
          <w:sz w:val="32"/>
          <w:szCs w:val="32"/>
          <w:lang w:eastAsia="zh-CN"/>
        </w:rPr>
        <w:t>辞职、</w:t>
      </w:r>
      <w:r>
        <w:rPr>
          <w:rFonts w:hint="eastAsia" w:ascii="仿宋_GB2312" w:hAnsi="仿宋_GB2312" w:eastAsia="仿宋_GB2312" w:cs="仿宋_GB2312"/>
          <w:color w:val="auto"/>
          <w:sz w:val="32"/>
          <w:szCs w:val="32"/>
          <w:lang w:val="en-US" w:eastAsia="zh-CN"/>
        </w:rPr>
        <w:t>被开除、党内记过、受到刑事处罚、重大疾</w:t>
      </w:r>
      <w:r>
        <w:rPr>
          <w:rFonts w:hint="eastAsia" w:ascii="仿宋_GB2312" w:hAnsi="仿宋_GB2312" w:eastAsia="仿宋_GB2312" w:cs="仿宋_GB2312"/>
          <w:color w:val="auto"/>
          <w:sz w:val="32"/>
          <w:szCs w:val="32"/>
          <w:lang w:eastAsia="zh-CN"/>
        </w:rPr>
        <w:t>病、</w:t>
      </w:r>
      <w:r>
        <w:rPr>
          <w:rFonts w:hint="eastAsia" w:ascii="仿宋_GB2312" w:hAnsi="仿宋_GB2312" w:eastAsia="仿宋_GB2312" w:cs="仿宋_GB2312"/>
          <w:color w:val="auto"/>
          <w:sz w:val="32"/>
          <w:szCs w:val="32"/>
          <w:lang w:val="en-US" w:eastAsia="zh-CN"/>
        </w:rPr>
        <w:t>利益冲突</w:t>
      </w:r>
      <w:r>
        <w:rPr>
          <w:rFonts w:hint="eastAsia" w:ascii="仿宋_GB2312" w:hAnsi="仿宋_GB2312" w:eastAsia="仿宋_GB2312" w:cs="仿宋_GB2312"/>
          <w:color w:val="auto"/>
          <w:sz w:val="32"/>
          <w:szCs w:val="32"/>
          <w:lang w:eastAsia="zh-CN"/>
        </w:rPr>
        <w:t>回避</w:t>
      </w:r>
      <w:r>
        <w:rPr>
          <w:rFonts w:hint="eastAsia" w:ascii="仿宋_GB2312" w:hAnsi="仿宋_GB2312" w:eastAsia="仿宋_GB2312" w:cs="仿宋_GB2312"/>
          <w:color w:val="auto"/>
          <w:sz w:val="32"/>
          <w:szCs w:val="32"/>
          <w:lang w:val="en-US" w:eastAsia="zh-CN"/>
        </w:rPr>
        <w:t>等特殊</w:t>
      </w:r>
      <w:r>
        <w:rPr>
          <w:rFonts w:hint="eastAsia" w:ascii="仿宋_GB2312" w:hAnsi="仿宋_GB2312" w:eastAsia="仿宋_GB2312" w:cs="仿宋_GB2312"/>
          <w:color w:val="auto"/>
          <w:sz w:val="32"/>
          <w:szCs w:val="32"/>
          <w:lang w:eastAsia="zh-CN"/>
        </w:rPr>
        <w:t>原因）</w:t>
      </w:r>
      <w:r>
        <w:rPr>
          <w:rFonts w:hint="eastAsia" w:ascii="仿宋_GB2312" w:hAnsi="仿宋_GB2312" w:eastAsia="仿宋_GB2312" w:cs="仿宋_GB2312"/>
          <w:color w:val="auto"/>
          <w:sz w:val="32"/>
          <w:szCs w:val="32"/>
        </w:rPr>
        <w:t>不能履行职务时，经甲方</w:t>
      </w:r>
      <w:r>
        <w:rPr>
          <w:rFonts w:hint="eastAsia" w:ascii="仿宋_GB2312" w:hAnsi="仿宋_GB2312" w:eastAsia="仿宋_GB2312" w:cs="仿宋_GB2312"/>
          <w:color w:val="auto"/>
          <w:sz w:val="32"/>
          <w:szCs w:val="32"/>
          <w:lang w:val="en-US" w:eastAsia="zh-CN"/>
        </w:rPr>
        <w:t>同意</w:t>
      </w:r>
      <w:r>
        <w:rPr>
          <w:rFonts w:hint="eastAsia" w:ascii="仿宋_GB2312" w:hAnsi="仿宋_GB2312" w:eastAsia="仿宋_GB2312" w:cs="仿宋_GB2312"/>
          <w:color w:val="auto"/>
          <w:sz w:val="32"/>
          <w:szCs w:val="32"/>
        </w:rPr>
        <w:t>，由乙方另行指派律师，继续完成本合同约定的法律顾问工作。甲方</w:t>
      </w:r>
      <w:r>
        <w:rPr>
          <w:rFonts w:hint="eastAsia" w:ascii="仿宋_GB2312" w:hAnsi="仿宋_GB2312" w:eastAsia="仿宋_GB2312" w:cs="仿宋_GB2312"/>
          <w:color w:val="auto"/>
          <w:sz w:val="32"/>
          <w:szCs w:val="32"/>
          <w:lang w:val="en-US" w:eastAsia="zh-CN"/>
        </w:rPr>
        <w:t>认为不能</w:t>
      </w:r>
      <w:r>
        <w:rPr>
          <w:rFonts w:hint="eastAsia" w:ascii="仿宋_GB2312" w:hAnsi="仿宋_GB2312" w:eastAsia="仿宋_GB2312" w:cs="仿宋_GB2312"/>
          <w:color w:val="auto"/>
          <w:sz w:val="32"/>
          <w:szCs w:val="32"/>
        </w:rPr>
        <w:t>接替的，可单方面解除合同，法律顾问费按当年已提供的服务的天数占全年的比例进行结算。</w:t>
      </w:r>
    </w:p>
    <w:p w14:paraId="7C3A7D74">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3.1.2 甲方认为</w:t>
      </w:r>
      <w:r>
        <w:rPr>
          <w:rFonts w:hint="eastAsia" w:ascii="仿宋_GB2312" w:hAnsi="仿宋_GB2312" w:eastAsia="仿宋_GB2312" w:cs="仿宋_GB2312"/>
          <w:color w:val="auto"/>
          <w:sz w:val="32"/>
          <w:szCs w:val="32"/>
        </w:rPr>
        <w:t>乙方指派律师提供的法律服务不符合合同约定或不能满足甲方工作需求的，甲方有权要求乙方更换律师，乙方应当于收到甲方要求之日起三个工作日内重新指派符合条件的律师。</w:t>
      </w:r>
      <w:r>
        <w:rPr>
          <w:rFonts w:hint="eastAsia" w:ascii="仿宋_GB2312" w:hAnsi="仿宋_GB2312" w:eastAsia="仿宋_GB2312" w:cs="仿宋_GB2312"/>
          <w:color w:val="auto"/>
          <w:sz w:val="32"/>
          <w:szCs w:val="32"/>
          <w:lang w:val="en-US" w:eastAsia="zh-CN"/>
        </w:rPr>
        <w:t>更换后甲方认为仍</w:t>
      </w:r>
      <w:r>
        <w:rPr>
          <w:rFonts w:hint="eastAsia" w:ascii="仿宋_GB2312" w:hAnsi="仿宋_GB2312" w:eastAsia="仿宋_GB2312" w:cs="仿宋_GB2312"/>
          <w:color w:val="auto"/>
          <w:sz w:val="32"/>
          <w:szCs w:val="32"/>
        </w:rPr>
        <w:t>不能满足甲方工作需求的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甲方有权</w:t>
      </w:r>
      <w:r>
        <w:rPr>
          <w:rFonts w:hint="eastAsia" w:ascii="仿宋_GB2312" w:hAnsi="仿宋_GB2312" w:eastAsia="仿宋_GB2312" w:cs="仿宋_GB2312"/>
          <w:color w:val="auto"/>
          <w:sz w:val="32"/>
          <w:szCs w:val="32"/>
        </w:rPr>
        <w:t>单方面解除合同，法律顾问费按当年已提供的服务的天数占全年的比例进行结算。</w:t>
      </w:r>
    </w:p>
    <w:p w14:paraId="0B2C55B4">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3.1.3 </w:t>
      </w:r>
      <w:r>
        <w:rPr>
          <w:rFonts w:hint="eastAsia" w:ascii="仿宋_GB2312" w:hAnsi="仿宋_GB2312" w:eastAsia="仿宋_GB2312" w:cs="仿宋_GB2312"/>
          <w:color w:val="auto"/>
          <w:sz w:val="32"/>
          <w:szCs w:val="32"/>
        </w:rPr>
        <w:t>乙方指派</w:t>
      </w:r>
      <w:r>
        <w:rPr>
          <w:rFonts w:hint="eastAsia" w:ascii="仿宋_GB2312" w:hAnsi="仿宋_GB2312" w:eastAsia="仿宋_GB2312" w:cs="仿宋_GB2312"/>
          <w:color w:val="auto"/>
          <w:sz w:val="32"/>
          <w:szCs w:val="32"/>
          <w:lang w:val="en-US" w:eastAsia="zh-CN"/>
        </w:rPr>
        <w:t>的主办律师和协办律师均需直接参与提供法律服务，如甲方发现乙方指派其他律师提供法律服务，甲方有权单方面解除合同，</w:t>
      </w:r>
      <w:r>
        <w:rPr>
          <w:rFonts w:hint="eastAsia" w:ascii="仿宋_GB2312" w:hAnsi="仿宋_GB2312" w:eastAsia="仿宋_GB2312" w:cs="仿宋_GB2312"/>
          <w:color w:val="auto"/>
          <w:sz w:val="32"/>
          <w:szCs w:val="32"/>
        </w:rPr>
        <w:t>法律顾问费按当年已提供的服务的天数占全年的比例进行结算。</w:t>
      </w:r>
    </w:p>
    <w:p w14:paraId="1AB6FF22">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3.2 </w:t>
      </w:r>
      <w:r>
        <w:rPr>
          <w:rFonts w:hint="eastAsia" w:ascii="仿宋_GB2312" w:hAnsi="仿宋_GB2312" w:eastAsia="仿宋_GB2312" w:cs="仿宋_GB2312"/>
          <w:color w:val="auto"/>
          <w:sz w:val="32"/>
          <w:szCs w:val="32"/>
        </w:rPr>
        <w:t>乙方应当依法依理、勤勉尽责地完成本合同第一条</w:t>
      </w:r>
      <w:r>
        <w:rPr>
          <w:rFonts w:hint="eastAsia" w:ascii="仿宋_GB2312" w:hAnsi="仿宋_GB2312" w:eastAsia="仿宋_GB2312" w:cs="仿宋_GB2312"/>
          <w:color w:val="auto"/>
          <w:sz w:val="32"/>
          <w:szCs w:val="32"/>
          <w:lang w:val="en-US" w:eastAsia="zh-CN"/>
        </w:rPr>
        <w:t>第一项</w:t>
      </w:r>
      <w:r>
        <w:rPr>
          <w:rFonts w:hint="eastAsia" w:ascii="仿宋_GB2312" w:hAnsi="仿宋_GB2312" w:eastAsia="仿宋_GB2312" w:cs="仿宋_GB2312"/>
          <w:color w:val="auto"/>
          <w:sz w:val="32"/>
          <w:szCs w:val="32"/>
        </w:rPr>
        <w:t>所列的法律事务，切实维护甲方的合法权益。</w:t>
      </w:r>
    </w:p>
    <w:p w14:paraId="03809CD8">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3.3 </w:t>
      </w:r>
      <w:r>
        <w:rPr>
          <w:rFonts w:hint="eastAsia" w:ascii="仿宋_GB2312" w:hAnsi="仿宋_GB2312" w:eastAsia="仿宋_GB2312" w:cs="仿宋_GB2312"/>
          <w:color w:val="auto"/>
          <w:sz w:val="32"/>
          <w:szCs w:val="32"/>
        </w:rPr>
        <w:t>乙方应当在获得甲方提供的相关文件资料及其他必须的工作条件后，及时完成服务工作，并应甲方要求通报工作进程。</w:t>
      </w:r>
    </w:p>
    <w:p w14:paraId="71665D90">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3.4 </w:t>
      </w:r>
      <w:r>
        <w:rPr>
          <w:rFonts w:hint="eastAsia" w:ascii="仿宋_GB2312" w:hAnsi="仿宋_GB2312" w:eastAsia="仿宋_GB2312" w:cs="仿宋_GB2312"/>
          <w:color w:val="auto"/>
          <w:sz w:val="32"/>
          <w:szCs w:val="32"/>
        </w:rPr>
        <w:t>乙方对获知的甲方商业秘密或个人隐私负有保密责任，非因法律规定或者甲方同意，不得向任何第三方披露。但以下内容除外：</w:t>
      </w:r>
    </w:p>
    <w:p w14:paraId="306ECD1F">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刑事犯罪证据；</w:t>
      </w:r>
    </w:p>
    <w:p w14:paraId="4873C7B6">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可以公开查阅或取得的信息和资料；</w:t>
      </w:r>
    </w:p>
    <w:p w14:paraId="3E73C3D3">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为履行本合同所约定的服务必须进行的工作。</w:t>
      </w:r>
    </w:p>
    <w:p w14:paraId="736137BC">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乙方违反保密义务的，应承担一切法律责任并赔偿甲方因此遭受的全部损失。</w:t>
      </w:r>
    </w:p>
    <w:p w14:paraId="0952FB52">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3.5 </w:t>
      </w:r>
      <w:r>
        <w:rPr>
          <w:rFonts w:hint="eastAsia" w:ascii="仿宋_GB2312" w:hAnsi="仿宋_GB2312" w:eastAsia="仿宋_GB2312" w:cs="仿宋_GB2312"/>
          <w:color w:val="auto"/>
          <w:sz w:val="32"/>
          <w:szCs w:val="32"/>
        </w:rPr>
        <w:t>乙方应当建立工作档案，保存工作记录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以备甲方或上级主管部门考察</w:t>
      </w:r>
      <w:r>
        <w:rPr>
          <w:rFonts w:hint="eastAsia" w:ascii="仿宋_GB2312" w:hAnsi="仿宋_GB2312" w:eastAsia="仿宋_GB2312" w:cs="仿宋_GB2312"/>
          <w:color w:val="auto"/>
          <w:sz w:val="32"/>
          <w:szCs w:val="32"/>
        </w:rPr>
        <w:t>。</w:t>
      </w:r>
    </w:p>
    <w:p w14:paraId="695E496D">
      <w:pPr>
        <w:keepNext w:val="0"/>
        <w:keepLines w:val="0"/>
        <w:pageBreakBefore w:val="0"/>
        <w:widowControl w:val="0"/>
        <w:kinsoku/>
        <w:wordWrap w:val="0"/>
        <w:overflowPunct w:val="0"/>
        <w:topLinePunct w:val="0"/>
        <w:autoSpaceDE/>
        <w:autoSpaceDN/>
        <w:bidi w:val="0"/>
        <w:adjustRightInd/>
        <w:snapToGrid w:val="0"/>
        <w:spacing w:line="560" w:lineRule="exact"/>
        <w:ind w:left="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聘请期限与服务方式</w:t>
      </w:r>
    </w:p>
    <w:p w14:paraId="4EEC2910">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4.1 </w:t>
      </w:r>
      <w:r>
        <w:rPr>
          <w:rFonts w:hint="eastAsia" w:ascii="仿宋_GB2312" w:hAnsi="仿宋_GB2312" w:eastAsia="仿宋_GB2312" w:cs="仿宋_GB2312"/>
          <w:color w:val="auto"/>
          <w:sz w:val="32"/>
          <w:szCs w:val="32"/>
        </w:rPr>
        <w:t>聘请期限：自</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日起至</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日止，共</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壹</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个工作年度。本合同期满后，双方</w:t>
      </w:r>
      <w:r>
        <w:rPr>
          <w:rFonts w:hint="eastAsia" w:ascii="仿宋_GB2312" w:hAnsi="仿宋_GB2312" w:eastAsia="仿宋_GB2312" w:cs="仿宋_GB2312"/>
          <w:color w:val="auto"/>
          <w:sz w:val="32"/>
          <w:szCs w:val="32"/>
          <w:lang w:val="en-US" w:eastAsia="zh-CN"/>
        </w:rPr>
        <w:t>可协商延长</w:t>
      </w:r>
      <w:r>
        <w:rPr>
          <w:rFonts w:hint="eastAsia" w:ascii="仿宋_GB2312" w:hAnsi="仿宋_GB2312" w:eastAsia="仿宋_GB2312" w:cs="仿宋_GB2312"/>
          <w:color w:val="auto"/>
          <w:sz w:val="32"/>
          <w:szCs w:val="32"/>
        </w:rPr>
        <w:t>。</w:t>
      </w:r>
    </w:p>
    <w:p w14:paraId="3357A3A9">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4.2 </w:t>
      </w:r>
      <w:r>
        <w:rPr>
          <w:rFonts w:hint="eastAsia" w:ascii="仿宋_GB2312" w:hAnsi="仿宋_GB2312" w:eastAsia="仿宋_GB2312" w:cs="仿宋_GB2312"/>
          <w:color w:val="auto"/>
          <w:sz w:val="32"/>
          <w:szCs w:val="32"/>
        </w:rPr>
        <w:t>服务方式：</w:t>
      </w:r>
    </w:p>
    <w:p w14:paraId="4B064711">
      <w:pPr>
        <w:keepNext w:val="0"/>
        <w:keepLines w:val="0"/>
        <w:pageBreakBefore w:val="0"/>
        <w:widowControl w:val="0"/>
        <w:kinsoku/>
        <w:wordWrap w:val="0"/>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14:paraId="640B2F19">
      <w:pPr>
        <w:keepNext w:val="0"/>
        <w:keepLines w:val="0"/>
        <w:pageBreakBefore w:val="0"/>
        <w:widowControl w:val="0"/>
        <w:kinsoku/>
        <w:wordWrap w:val="0"/>
        <w:overflowPunct w:val="0"/>
        <w:topLinePunct w:val="0"/>
        <w:autoSpaceDE/>
        <w:autoSpaceDN/>
        <w:bidi w:val="0"/>
        <w:adjustRightInd/>
        <w:snapToGrid w:val="0"/>
        <w:spacing w:line="560" w:lineRule="exact"/>
        <w:ind w:left="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费用的确定与支付</w:t>
      </w:r>
    </w:p>
    <w:p w14:paraId="3286D5B3">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5.1 </w:t>
      </w:r>
      <w:r>
        <w:rPr>
          <w:rFonts w:hint="eastAsia" w:ascii="仿宋_GB2312" w:hAnsi="仿宋_GB2312" w:eastAsia="仿宋_GB2312" w:cs="仿宋_GB2312"/>
          <w:color w:val="auto"/>
          <w:sz w:val="32"/>
          <w:szCs w:val="32"/>
        </w:rPr>
        <w:t>收费依据：国家和海南省律师服务收费的现行有效规定。</w:t>
      </w:r>
    </w:p>
    <w:p w14:paraId="65C5C593">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5.2 </w:t>
      </w:r>
      <w:r>
        <w:rPr>
          <w:rFonts w:hint="eastAsia" w:ascii="仿宋_GB2312" w:hAnsi="仿宋_GB2312" w:eastAsia="仿宋_GB2312" w:cs="仿宋_GB2312"/>
          <w:color w:val="auto"/>
          <w:sz w:val="32"/>
          <w:szCs w:val="32"/>
        </w:rPr>
        <w:t>法律顾问费：每个工作年度为人民币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元，总额为人民币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分两期支付</w:t>
      </w:r>
      <w:r>
        <w:rPr>
          <w:rFonts w:hint="eastAsia" w:ascii="仿宋_GB2312" w:hAnsi="仿宋_GB2312" w:eastAsia="仿宋_GB2312" w:cs="仿宋_GB2312"/>
          <w:color w:val="auto"/>
          <w:sz w:val="32"/>
          <w:szCs w:val="32"/>
        </w:rPr>
        <w:t>。</w:t>
      </w:r>
    </w:p>
    <w:p w14:paraId="5A870FEE">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5.3 </w:t>
      </w:r>
      <w:r>
        <w:rPr>
          <w:rFonts w:hint="eastAsia" w:ascii="仿宋_GB2312" w:hAnsi="仿宋_GB2312" w:eastAsia="仿宋_GB2312" w:cs="仿宋_GB2312"/>
          <w:color w:val="auto"/>
          <w:sz w:val="32"/>
          <w:szCs w:val="32"/>
        </w:rPr>
        <w:t>付费时间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第一期：服务合同签订后次日起，收到律师事务所开具的增值税发票5个工作日内支付50%；第二期：服务合同履行6个月后次日起，收到律师事务所开具的增值税发票5个工作日内支付50%</w:t>
      </w:r>
      <w:r>
        <w:rPr>
          <w:rFonts w:hint="eastAsia" w:ascii="仿宋_GB2312" w:hAnsi="仿宋_GB2312" w:eastAsia="仿宋_GB2312" w:cs="仿宋_GB2312"/>
          <w:color w:val="auto"/>
          <w:sz w:val="32"/>
          <w:szCs w:val="32"/>
        </w:rPr>
        <w:t>。</w:t>
      </w:r>
    </w:p>
    <w:p w14:paraId="3383CD79">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5.4 </w:t>
      </w:r>
      <w:r>
        <w:rPr>
          <w:rFonts w:hint="eastAsia" w:ascii="仿宋_GB2312" w:hAnsi="仿宋_GB2312" w:eastAsia="仿宋_GB2312" w:cs="仿宋_GB2312"/>
          <w:color w:val="auto"/>
          <w:sz w:val="32"/>
          <w:szCs w:val="32"/>
        </w:rPr>
        <w:t>甲方支付法律顾问费前，乙方应按甲方要求提供正规等额发票，否则甲方有权暂缓支付法律顾问费，且不视为甲方违约。乙方收款账号信息有变动的，应当于变动之日起三个工作日内书面函告甲方。</w:t>
      </w:r>
    </w:p>
    <w:p w14:paraId="6EFA26C5">
      <w:pPr>
        <w:keepNext w:val="0"/>
        <w:keepLines w:val="0"/>
        <w:pageBreakBefore w:val="0"/>
        <w:widowControl w:val="0"/>
        <w:kinsoku/>
        <w:wordWrap w:val="0"/>
        <w:overflowPunct w:val="0"/>
        <w:topLinePunct w:val="0"/>
        <w:autoSpaceDE/>
        <w:autoSpaceDN/>
        <w:bidi w:val="0"/>
        <w:adjustRightInd/>
        <w:snapToGrid w:val="0"/>
        <w:spacing w:line="560" w:lineRule="exact"/>
        <w:ind w:left="0" w:firstLine="643" w:firstLineChars="200"/>
        <w:jc w:val="both"/>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知识产权</w:t>
      </w:r>
    </w:p>
    <w:p w14:paraId="232B65A0">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 xml:space="preserve">6.1 </w:t>
      </w:r>
      <w:r>
        <w:rPr>
          <w:rFonts w:hint="eastAsia" w:ascii="仿宋_GB2312" w:hAnsi="仿宋_GB2312" w:eastAsia="仿宋_GB2312" w:cs="仿宋_GB2312"/>
          <w:b w:val="0"/>
          <w:bCs w:val="0"/>
          <w:color w:val="auto"/>
          <w:sz w:val="32"/>
          <w:szCs w:val="32"/>
          <w:lang w:eastAsia="zh-CN"/>
        </w:rPr>
        <w:t>甲、乙双方均应保护对方的知识产权。未经对方同意，任何一方均不得擅自修改、复制或向第三人转让因履行本合同而自对方处取得的资料及文件（包括合同、协议及其他文件）或将其用于本合同以外的目的。</w:t>
      </w:r>
    </w:p>
    <w:p w14:paraId="3EEDEFC2">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 xml:space="preserve">6.2 </w:t>
      </w:r>
      <w:r>
        <w:rPr>
          <w:rFonts w:hint="eastAsia" w:ascii="仿宋_GB2312" w:hAnsi="仿宋_GB2312" w:eastAsia="仿宋_GB2312" w:cs="仿宋_GB2312"/>
          <w:b w:val="0"/>
          <w:bCs w:val="0"/>
          <w:color w:val="auto"/>
          <w:sz w:val="32"/>
          <w:szCs w:val="32"/>
          <w:lang w:eastAsia="zh-CN"/>
        </w:rPr>
        <w:t>乙方及其</w:t>
      </w:r>
      <w:r>
        <w:rPr>
          <w:rFonts w:hint="eastAsia" w:ascii="仿宋_GB2312" w:hAnsi="仿宋_GB2312" w:eastAsia="仿宋_GB2312" w:cs="仿宋_GB2312"/>
          <w:b w:val="0"/>
          <w:bCs w:val="0"/>
          <w:color w:val="auto"/>
          <w:sz w:val="32"/>
          <w:szCs w:val="32"/>
          <w:lang w:val="en-US" w:eastAsia="zh-CN"/>
        </w:rPr>
        <w:t>工作人员</w:t>
      </w:r>
      <w:r>
        <w:rPr>
          <w:rFonts w:hint="eastAsia" w:ascii="仿宋_GB2312" w:hAnsi="仿宋_GB2312" w:eastAsia="仿宋_GB2312" w:cs="仿宋_GB2312"/>
          <w:b w:val="0"/>
          <w:bCs w:val="0"/>
          <w:color w:val="auto"/>
          <w:sz w:val="32"/>
          <w:szCs w:val="32"/>
          <w:lang w:eastAsia="zh-CN"/>
        </w:rPr>
        <w:t>在任何出版物（含各类内部资料和内部出版物）出版或发表任何与甲方经营管理活动相关的文章或在公开场合发表相关言论时，应事先征得甲方同意。</w:t>
      </w:r>
    </w:p>
    <w:p w14:paraId="3706ED69">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 xml:space="preserve">6.3 </w:t>
      </w:r>
      <w:r>
        <w:rPr>
          <w:rFonts w:hint="eastAsia" w:ascii="仿宋_GB2312" w:hAnsi="仿宋_GB2312" w:eastAsia="仿宋_GB2312" w:cs="仿宋_GB2312"/>
          <w:b w:val="0"/>
          <w:bCs w:val="0"/>
          <w:color w:val="auto"/>
          <w:sz w:val="32"/>
          <w:szCs w:val="32"/>
          <w:lang w:eastAsia="zh-CN"/>
        </w:rPr>
        <w:t>本条约定在本合同终止后仍然继续有效，且不受合同解除、终止或无效的影响。</w:t>
      </w:r>
    </w:p>
    <w:p w14:paraId="4AB3BD66">
      <w:pPr>
        <w:keepNext w:val="0"/>
        <w:keepLines w:val="0"/>
        <w:pageBreakBefore w:val="0"/>
        <w:widowControl w:val="0"/>
        <w:kinsoku/>
        <w:wordWrap w:val="0"/>
        <w:overflowPunct w:val="0"/>
        <w:topLinePunct w:val="0"/>
        <w:autoSpaceDE/>
        <w:autoSpaceDN/>
        <w:bidi w:val="0"/>
        <w:adjustRightInd/>
        <w:snapToGrid w:val="0"/>
        <w:spacing w:line="560" w:lineRule="exact"/>
        <w:ind w:left="0" w:firstLine="643" w:firstLineChars="200"/>
        <w:jc w:val="both"/>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 xml:space="preserve">第七条 </w:t>
      </w:r>
      <w:r>
        <w:rPr>
          <w:rFonts w:hint="eastAsia" w:ascii="仿宋_GB2312" w:hAnsi="仿宋_GB2312" w:eastAsia="仿宋_GB2312" w:cs="仿宋_GB2312"/>
          <w:b/>
          <w:bCs/>
          <w:color w:val="auto"/>
          <w:sz w:val="32"/>
          <w:szCs w:val="32"/>
          <w:lang w:eastAsia="zh-CN"/>
        </w:rPr>
        <w:t>利益冲突禁止</w:t>
      </w:r>
    </w:p>
    <w:p w14:paraId="6B4A0F68">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 xml:space="preserve">7.1 </w:t>
      </w:r>
      <w:r>
        <w:rPr>
          <w:rFonts w:hint="eastAsia" w:ascii="仿宋_GB2312" w:hAnsi="仿宋_GB2312" w:eastAsia="仿宋_GB2312" w:cs="仿宋_GB2312"/>
          <w:b w:val="0"/>
          <w:bCs w:val="0"/>
          <w:color w:val="auto"/>
          <w:sz w:val="32"/>
          <w:szCs w:val="32"/>
          <w:lang w:eastAsia="zh-CN"/>
        </w:rPr>
        <w:t>乙方应该将已经发生或者正在发生的、为与甲方有利益冲突的第三方当事人提供法律服务的情况及时、如实告知甲方，甲方有权选择继续履行合同或解除合同。</w:t>
      </w:r>
    </w:p>
    <w:p w14:paraId="7683E95E">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 xml:space="preserve">7.2 </w:t>
      </w:r>
      <w:r>
        <w:rPr>
          <w:rFonts w:hint="eastAsia" w:ascii="仿宋_GB2312" w:hAnsi="仿宋_GB2312" w:eastAsia="仿宋_GB2312" w:cs="仿宋_GB2312"/>
          <w:b w:val="0"/>
          <w:bCs w:val="0"/>
          <w:color w:val="auto"/>
          <w:sz w:val="32"/>
          <w:szCs w:val="32"/>
          <w:lang w:eastAsia="zh-CN"/>
        </w:rPr>
        <w:t>未经甲方许可，乙方不得为有利益冲突的第三方当事人提供任何法律服务。</w:t>
      </w:r>
    </w:p>
    <w:p w14:paraId="51410AFA">
      <w:pPr>
        <w:keepNext w:val="0"/>
        <w:keepLines w:val="0"/>
        <w:pageBreakBefore w:val="0"/>
        <w:widowControl w:val="0"/>
        <w:kinsoku/>
        <w:wordWrap w:val="0"/>
        <w:overflowPunct w:val="0"/>
        <w:topLinePunct w:val="0"/>
        <w:autoSpaceDE/>
        <w:autoSpaceDN/>
        <w:bidi w:val="0"/>
        <w:adjustRightInd/>
        <w:snapToGrid w:val="0"/>
        <w:spacing w:line="560" w:lineRule="exact"/>
        <w:ind w:left="0" w:firstLine="643" w:firstLineChars="200"/>
        <w:jc w:val="both"/>
        <w:textAlignment w:val="auto"/>
        <w:rPr>
          <w:rFonts w:hint="eastAsia" w:ascii="仿宋_GB2312" w:hAnsi="仿宋_GB2312" w:eastAsia="仿宋_GB2312" w:cs="仿宋_GB2312"/>
          <w:b/>
          <w:bCs/>
          <w:color w:val="auto"/>
          <w:sz w:val="32"/>
          <w:szCs w:val="32"/>
          <w:lang w:val="en-US" w:eastAsia="zh-CN"/>
        </w:rPr>
      </w:pPr>
      <w:bookmarkStart w:id="21" w:name="_Toc374469628"/>
      <w:bookmarkStart w:id="22" w:name="_Toc81784922"/>
      <w:r>
        <w:rPr>
          <w:rFonts w:hint="eastAsia" w:ascii="仿宋_GB2312" w:hAnsi="仿宋_GB2312" w:eastAsia="仿宋_GB2312" w:cs="仿宋_GB2312"/>
          <w:b/>
          <w:bCs/>
          <w:color w:val="auto"/>
          <w:sz w:val="32"/>
          <w:szCs w:val="32"/>
          <w:lang w:val="en-US" w:eastAsia="zh-CN"/>
        </w:rPr>
        <w:t>第八条 违约责任</w:t>
      </w:r>
      <w:bookmarkEnd w:id="21"/>
      <w:bookmarkEnd w:id="22"/>
    </w:p>
    <w:p w14:paraId="712C0926">
      <w:pPr>
        <w:keepNext w:val="0"/>
        <w:keepLines w:val="0"/>
        <w:pageBreakBefore w:val="0"/>
        <w:widowControl w:val="0"/>
        <w:kinsoku/>
        <w:wordWrap w:val="0"/>
        <w:overflowPunct w:val="0"/>
        <w:topLinePunct w:val="0"/>
        <w:bidi w:val="0"/>
        <w:adjustRightInd/>
        <w:snapToGrid w:val="0"/>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乙方及其指派律师出现下列行为的，甲方有权解除合同并拒绝支付法律顾问费；已经支付的，甲方有权要求全部退还。给甲方造成损害或损失的，乙方应予以赔偿：</w:t>
      </w:r>
    </w:p>
    <w:p w14:paraId="096837D9">
      <w:pPr>
        <w:keepNext w:val="0"/>
        <w:keepLines w:val="0"/>
        <w:pageBreakBefore w:val="0"/>
        <w:widowControl w:val="0"/>
        <w:numPr>
          <w:ilvl w:val="0"/>
          <w:numId w:val="0"/>
        </w:numPr>
        <w:kinsoku/>
        <w:wordWrap w:val="0"/>
        <w:overflowPunct w:val="0"/>
        <w:topLinePunct w:val="0"/>
        <w:bidi w:val="0"/>
        <w:adjustRightInd/>
        <w:snapToGrid w:val="0"/>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8.1 违反第一条、第三条、第六条和第七条的规定；</w:t>
      </w:r>
    </w:p>
    <w:p w14:paraId="32520C25">
      <w:pPr>
        <w:keepNext w:val="0"/>
        <w:keepLines w:val="0"/>
        <w:pageBreakBefore w:val="0"/>
        <w:widowControl w:val="0"/>
        <w:numPr>
          <w:ilvl w:val="0"/>
          <w:numId w:val="0"/>
        </w:numPr>
        <w:kinsoku/>
        <w:wordWrap w:val="0"/>
        <w:overflowPunct w:val="0"/>
        <w:topLinePunct w:val="0"/>
        <w:bidi w:val="0"/>
        <w:adjustRightInd/>
        <w:snapToGrid w:val="0"/>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8.2无故终止提供法律服务；</w:t>
      </w:r>
    </w:p>
    <w:p w14:paraId="03046B8B">
      <w:pPr>
        <w:keepNext w:val="0"/>
        <w:keepLines w:val="0"/>
        <w:pageBreakBefore w:val="0"/>
        <w:widowControl w:val="0"/>
        <w:kinsoku/>
        <w:wordWrap w:val="0"/>
        <w:overflowPunct w:val="0"/>
        <w:topLinePunct w:val="0"/>
        <w:bidi w:val="0"/>
        <w:adjustRightInd/>
        <w:snapToGrid w:val="0"/>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8.3 发生其他严重失职行为。</w:t>
      </w:r>
    </w:p>
    <w:p w14:paraId="1E9A90F9">
      <w:pPr>
        <w:pStyle w:val="2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第九条 本合同组成文件包括：</w:t>
      </w:r>
    </w:p>
    <w:p w14:paraId="459FD726">
      <w:pPr>
        <w:pStyle w:val="2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9.1 合同条款</w:t>
      </w:r>
    </w:p>
    <w:p w14:paraId="42A92FAF">
      <w:pPr>
        <w:pStyle w:val="2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9.2 比选文件</w:t>
      </w:r>
    </w:p>
    <w:p w14:paraId="6695C76E">
      <w:pPr>
        <w:pStyle w:val="2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9.3 参选文件</w:t>
      </w:r>
    </w:p>
    <w:p w14:paraId="08A49DDA">
      <w:pPr>
        <w:pStyle w:val="2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9.4 参选人在参选过程中做出的书面说明或承诺</w:t>
      </w:r>
    </w:p>
    <w:p w14:paraId="5643813C">
      <w:pPr>
        <w:pStyle w:val="2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9.5 中选结果通知书</w:t>
      </w:r>
    </w:p>
    <w:p w14:paraId="7DA5DD1C">
      <w:pPr>
        <w:pStyle w:val="2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9.6 补充协议条款</w:t>
      </w:r>
    </w:p>
    <w:p w14:paraId="752A7386">
      <w:pPr>
        <w:pStyle w:val="2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9.7 甲、乙双方商定的其他必要文件</w:t>
      </w:r>
    </w:p>
    <w:p w14:paraId="74E5B496">
      <w:pPr>
        <w:pStyle w:val="2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上述合同文件内容互为补充，如有不明确，甲方有权解释。</w:t>
      </w:r>
    </w:p>
    <w:p w14:paraId="1036932F">
      <w:pPr>
        <w:keepNext w:val="0"/>
        <w:keepLines w:val="0"/>
        <w:pageBreakBefore w:val="0"/>
        <w:widowControl w:val="0"/>
        <w:kinsoku/>
        <w:wordWrap w:val="0"/>
        <w:overflowPunct w:val="0"/>
        <w:topLinePunct w:val="0"/>
        <w:autoSpaceDE/>
        <w:autoSpaceDN/>
        <w:bidi w:val="0"/>
        <w:adjustRightInd/>
        <w:snapToGrid w:val="0"/>
        <w:spacing w:line="560" w:lineRule="exact"/>
        <w:ind w:left="0"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第十条 联系方式</w:t>
      </w:r>
    </w:p>
    <w:p w14:paraId="41411F9F">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kern w:val="2"/>
          <w:sz w:val="32"/>
          <w:szCs w:val="32"/>
          <w:lang w:val="en-US" w:eastAsia="zh-CN" w:bidi="ar-SA"/>
        </w:rPr>
        <w:t>甲方确认下列通讯方式及联系人是乙方受聘完成甲</w:t>
      </w:r>
      <w:r>
        <w:rPr>
          <w:rFonts w:hint="eastAsia" w:ascii="仿宋_GB2312" w:hAnsi="仿宋_GB2312" w:eastAsia="仿宋_GB2312" w:cs="仿宋_GB2312"/>
          <w:color w:val="auto"/>
          <w:sz w:val="32"/>
          <w:szCs w:val="32"/>
        </w:rPr>
        <w:t>方常年法律顾问工作向甲方履行通知义务的通讯方式及联系人：</w:t>
      </w:r>
    </w:p>
    <w:p w14:paraId="3B263A60">
      <w:pPr>
        <w:keepNext w:val="0"/>
        <w:keepLines w:val="0"/>
        <w:pageBreakBefore w:val="0"/>
        <w:widowControl w:val="0"/>
        <w:kinsoku/>
        <w:wordWrap w:val="0"/>
        <w:overflowPunct w:val="0"/>
        <w:topLinePunct w:val="0"/>
        <w:autoSpaceDE/>
        <w:autoSpaceDN/>
        <w:bidi w:val="0"/>
        <w:adjustRightInd/>
        <w:snapToGrid w:val="0"/>
        <w:spacing w:line="560" w:lineRule="exact"/>
        <w:ind w:firstLine="640" w:firstLineChars="200"/>
        <w:jc w:val="both"/>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w:t>
      </w:r>
    </w:p>
    <w:p w14:paraId="17DE81E5">
      <w:pPr>
        <w:keepNext w:val="0"/>
        <w:keepLines w:val="0"/>
        <w:pageBreakBefore w:val="0"/>
        <w:widowControl w:val="0"/>
        <w:kinsoku/>
        <w:wordWrap w:val="0"/>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如果甲方变更通讯方式或联系人，需提前七日书面通知乙方。</w:t>
      </w:r>
    </w:p>
    <w:p w14:paraId="25D07B53">
      <w:pPr>
        <w:keepNext w:val="0"/>
        <w:keepLines w:val="0"/>
        <w:pageBreakBefore w:val="0"/>
        <w:widowControl w:val="0"/>
        <w:kinsoku/>
        <w:wordWrap w:val="0"/>
        <w:overflowPunct w:val="0"/>
        <w:topLinePunct w:val="0"/>
        <w:autoSpaceDE/>
        <w:autoSpaceDN/>
        <w:bidi w:val="0"/>
        <w:adjustRightInd/>
        <w:snapToGrid w:val="0"/>
        <w:spacing w:line="560" w:lineRule="exact"/>
        <w:ind w:left="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十一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争议解决方法</w:t>
      </w:r>
    </w:p>
    <w:p w14:paraId="66BE69B6">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因履行本合同发生争议，双方应友好协商；协商不成的，可选择下列第</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种方式解决。</w:t>
      </w:r>
    </w:p>
    <w:p w14:paraId="1970D973">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提交海南仲裁委员会仲裁；</w:t>
      </w:r>
    </w:p>
    <w:p w14:paraId="2A15D97B">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11.2 </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val="en-US" w:eastAsia="zh-CN"/>
        </w:rPr>
        <w:t>甲方所在地</w:t>
      </w:r>
      <w:r>
        <w:rPr>
          <w:rFonts w:hint="eastAsia" w:ascii="仿宋_GB2312" w:hAnsi="仿宋_GB2312" w:eastAsia="仿宋_GB2312" w:cs="仿宋_GB2312"/>
          <w:color w:val="auto"/>
          <w:sz w:val="32"/>
          <w:szCs w:val="32"/>
        </w:rPr>
        <w:t>人民法院提起诉讼。</w:t>
      </w:r>
    </w:p>
    <w:p w14:paraId="5A1E87C7">
      <w:pPr>
        <w:keepNext w:val="0"/>
        <w:keepLines w:val="0"/>
        <w:pageBreakBefore w:val="0"/>
        <w:widowControl w:val="0"/>
        <w:kinsoku/>
        <w:wordWrap w:val="0"/>
        <w:overflowPunct w:val="0"/>
        <w:topLinePunct w:val="0"/>
        <w:autoSpaceDE/>
        <w:autoSpaceDN/>
        <w:bidi w:val="0"/>
        <w:adjustRightInd/>
        <w:snapToGrid w:val="0"/>
        <w:spacing w:line="560" w:lineRule="exact"/>
        <w:ind w:left="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其他</w:t>
      </w:r>
    </w:p>
    <w:p w14:paraId="25E7BADE">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12.1 </w:t>
      </w:r>
      <w:r>
        <w:rPr>
          <w:rFonts w:hint="eastAsia" w:ascii="仿宋_GB2312" w:hAnsi="仿宋_GB2312" w:eastAsia="仿宋_GB2312" w:cs="仿宋_GB2312"/>
          <w:color w:val="auto"/>
          <w:sz w:val="32"/>
          <w:szCs w:val="32"/>
        </w:rPr>
        <w:t>本合同一式</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贰</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份，双方各执</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壹</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份，自</w:t>
      </w:r>
      <w:r>
        <w:rPr>
          <w:rFonts w:hint="eastAsia" w:ascii="仿宋_GB2312" w:hAnsi="仿宋_GB2312" w:eastAsia="仿宋_GB2312" w:cs="仿宋_GB2312"/>
          <w:b w:val="0"/>
          <w:bCs w:val="0"/>
          <w:color w:val="auto"/>
          <w:kern w:val="2"/>
          <w:sz w:val="32"/>
          <w:szCs w:val="32"/>
          <w:lang w:val="en-US" w:eastAsia="zh-CN" w:bidi="ar-SA"/>
        </w:rPr>
        <w:t>甲、乙</w:t>
      </w:r>
      <w:r>
        <w:rPr>
          <w:rFonts w:hint="eastAsia" w:ascii="仿宋_GB2312" w:hAnsi="仿宋_GB2312" w:eastAsia="仿宋_GB2312" w:cs="仿宋_GB2312"/>
          <w:color w:val="auto"/>
          <w:sz w:val="32"/>
          <w:szCs w:val="32"/>
        </w:rPr>
        <w:t>双方签字</w:t>
      </w:r>
      <w:r>
        <w:rPr>
          <w:rFonts w:hint="eastAsia" w:ascii="仿宋_GB2312" w:hAnsi="仿宋_GB2312" w:eastAsia="仿宋_GB2312" w:cs="仿宋_GB2312"/>
          <w:color w:val="auto"/>
          <w:sz w:val="32"/>
          <w:szCs w:val="32"/>
          <w:lang w:val="en-US" w:eastAsia="zh-CN"/>
        </w:rPr>
        <w:t>或</w:t>
      </w:r>
      <w:r>
        <w:rPr>
          <w:rFonts w:hint="eastAsia" w:ascii="仿宋_GB2312" w:hAnsi="仿宋_GB2312" w:eastAsia="仿宋_GB2312" w:cs="仿宋_GB2312"/>
          <w:color w:val="auto"/>
          <w:sz w:val="32"/>
          <w:szCs w:val="32"/>
        </w:rPr>
        <w:t>盖章之日起生效。</w:t>
      </w:r>
    </w:p>
    <w:p w14:paraId="5320C9F8">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 xml:space="preserve">12.2 </w:t>
      </w:r>
      <w:r>
        <w:rPr>
          <w:rFonts w:hint="eastAsia" w:ascii="仿宋_GB2312" w:hAnsi="仿宋_GB2312" w:eastAsia="仿宋_GB2312" w:cs="仿宋_GB2312"/>
          <w:b w:val="0"/>
          <w:bCs w:val="0"/>
          <w:color w:val="auto"/>
          <w:kern w:val="2"/>
          <w:sz w:val="32"/>
          <w:szCs w:val="32"/>
          <w:lang w:val="en-US" w:eastAsia="zh-CN" w:bidi="ar-SA"/>
        </w:rPr>
        <w:t>甲、乙</w:t>
      </w:r>
      <w:r>
        <w:rPr>
          <w:rFonts w:hint="eastAsia" w:ascii="仿宋_GB2312" w:hAnsi="仿宋_GB2312" w:eastAsia="仿宋_GB2312" w:cs="仿宋_GB2312"/>
          <w:b w:val="0"/>
          <w:bCs w:val="0"/>
          <w:color w:val="auto"/>
          <w:sz w:val="32"/>
          <w:szCs w:val="32"/>
          <w:lang w:val="en-US" w:eastAsia="zh-CN"/>
        </w:rPr>
        <w:t>双方</w:t>
      </w:r>
      <w:r>
        <w:rPr>
          <w:rFonts w:hint="eastAsia" w:ascii="仿宋_GB2312" w:hAnsi="仿宋_GB2312" w:eastAsia="仿宋_GB2312" w:cs="仿宋_GB2312"/>
          <w:b w:val="0"/>
          <w:bCs w:val="0"/>
          <w:color w:val="auto"/>
          <w:sz w:val="32"/>
          <w:szCs w:val="32"/>
        </w:rPr>
        <w:t>承诺：已认真审阅本合同所有格式条款并完全了解</w:t>
      </w:r>
      <w:r>
        <w:rPr>
          <w:rFonts w:hint="eastAsia" w:ascii="仿宋_GB2312" w:hAnsi="仿宋_GB2312" w:eastAsia="仿宋_GB2312" w:cs="仿宋_GB2312"/>
          <w:color w:val="auto"/>
          <w:sz w:val="32"/>
          <w:szCs w:val="32"/>
        </w:rPr>
        <w:t>其详尽内容；本合同所有条款均属双方平等且完全协商一致而达成。</w:t>
      </w:r>
    </w:p>
    <w:p w14:paraId="3CD9FD49">
      <w:pPr>
        <w:keepNext w:val="0"/>
        <w:keepLines w:val="0"/>
        <w:pageBreakBefore w:val="0"/>
        <w:widowControl w:val="0"/>
        <w:kinsoku/>
        <w:wordWrap w:val="0"/>
        <w:overflowPunct w:val="0"/>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12.3 </w:t>
      </w:r>
      <w:r>
        <w:rPr>
          <w:rFonts w:hint="eastAsia" w:ascii="仿宋_GB2312" w:hAnsi="仿宋_GB2312" w:eastAsia="仿宋_GB2312" w:cs="仿宋_GB2312"/>
          <w:b w:val="0"/>
          <w:bCs w:val="0"/>
          <w:color w:val="auto"/>
          <w:sz w:val="32"/>
          <w:szCs w:val="32"/>
        </w:rPr>
        <w:t>未尽事宜，</w:t>
      </w:r>
      <w:r>
        <w:rPr>
          <w:rFonts w:hint="eastAsia" w:ascii="仿宋_GB2312" w:hAnsi="仿宋_GB2312" w:eastAsia="仿宋_GB2312" w:cs="仿宋_GB2312"/>
          <w:b w:val="0"/>
          <w:bCs w:val="0"/>
          <w:color w:val="auto"/>
          <w:kern w:val="2"/>
          <w:sz w:val="32"/>
          <w:szCs w:val="32"/>
          <w:lang w:val="en-US" w:eastAsia="zh-CN" w:bidi="ar-SA"/>
        </w:rPr>
        <w:t>甲、乙</w:t>
      </w:r>
      <w:r>
        <w:rPr>
          <w:rFonts w:hint="eastAsia" w:ascii="仿宋_GB2312" w:hAnsi="仿宋_GB2312" w:eastAsia="仿宋_GB2312" w:cs="仿宋_GB2312"/>
          <w:b w:val="0"/>
          <w:bCs w:val="0"/>
          <w:color w:val="auto"/>
          <w:sz w:val="32"/>
          <w:szCs w:val="32"/>
        </w:rPr>
        <w:t>双方可在本条另行特别约定：</w:t>
      </w:r>
    </w:p>
    <w:p w14:paraId="3443E511">
      <w:pPr>
        <w:keepNext w:val="0"/>
        <w:keepLines w:val="0"/>
        <w:pageBreakBefore w:val="0"/>
        <w:widowControl w:val="0"/>
        <w:kinsoku/>
        <w:wordWrap w:val="0"/>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w:t>
      </w:r>
    </w:p>
    <w:p w14:paraId="2B5E26E6">
      <w:pPr>
        <w:keepNext w:val="0"/>
        <w:keepLines w:val="0"/>
        <w:pageBreakBefore w:val="0"/>
        <w:widowControl w:val="0"/>
        <w:kinsoku/>
        <w:wordWrap w:val="0"/>
        <w:overflowPunct w:val="0"/>
        <w:topLinePunct w:val="0"/>
        <w:autoSpaceDE/>
        <w:autoSpaceDN/>
        <w:bidi w:val="0"/>
        <w:adjustRightInd/>
        <w:snapToGrid w:val="0"/>
        <w:spacing w:line="560" w:lineRule="exact"/>
        <w:jc w:val="both"/>
        <w:textAlignment w:val="auto"/>
        <w:rPr>
          <w:rFonts w:hint="eastAsia" w:ascii="仿宋_GB2312" w:hAnsi="仿宋_GB2312" w:eastAsia="仿宋_GB2312" w:cs="仿宋_GB2312"/>
          <w:color w:val="auto"/>
          <w:sz w:val="32"/>
          <w:szCs w:val="32"/>
          <w:u w:val="none"/>
          <w:lang w:val="en-US" w:eastAsia="zh-CN"/>
        </w:rPr>
      </w:pPr>
    </w:p>
    <w:tbl>
      <w:tblPr>
        <w:tblStyle w:val="29"/>
        <w:tblpPr w:leftFromText="180" w:rightFromText="180" w:vertAnchor="text" w:horzAnchor="page" w:tblpXSpec="center" w:tblpY="318"/>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08"/>
        <w:gridCol w:w="4511"/>
      </w:tblGrid>
      <w:tr w14:paraId="42D23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7" w:hRule="atLeast"/>
          <w:jc w:val="center"/>
        </w:trPr>
        <w:tc>
          <w:tcPr>
            <w:tcW w:w="4508" w:type="dxa"/>
            <w:vAlign w:val="top"/>
          </w:tcPr>
          <w:p w14:paraId="42B11EAF">
            <w:pPr>
              <w:keepNext w:val="0"/>
              <w:keepLines w:val="0"/>
              <w:pageBreakBefore w:val="0"/>
              <w:widowControl w:val="0"/>
              <w:tabs>
                <w:tab w:val="left" w:pos="1785"/>
              </w:tabs>
              <w:kinsoku/>
              <w:wordWrap w:val="0"/>
              <w:overflowPunct w:val="0"/>
              <w:topLinePunct w:val="0"/>
              <w:autoSpaceDE w:val="0"/>
              <w:autoSpaceDN w:val="0"/>
              <w:bidi w:val="0"/>
              <w:adjustRightInd/>
              <w:snapToGrid/>
              <w:spacing w:after="0" w:line="560" w:lineRule="exact"/>
              <w:ind w:left="0" w:leftChars="0" w:right="0" w:rightChars="0"/>
              <w:jc w:val="both"/>
              <w:textAlignment w:val="auto"/>
              <w:rPr>
                <w:rFonts w:hint="eastAsia" w:ascii="仿宋_GB2312" w:hAnsi="仿宋_GB2312" w:eastAsia="仿宋_GB2312" w:cs="仿宋_GB2312"/>
                <w:color w:val="auto"/>
                <w:sz w:val="32"/>
                <w:szCs w:val="32"/>
                <w:lang w:val="zh-CN" w:eastAsia="zh-CN" w:bidi="zh-CN"/>
              </w:rPr>
            </w:pPr>
            <w:r>
              <w:rPr>
                <w:rFonts w:hint="eastAsia" w:ascii="仿宋_GB2312" w:hAnsi="仿宋_GB2312" w:eastAsia="仿宋_GB2312" w:cs="仿宋_GB2312"/>
                <w:color w:val="auto"/>
                <w:sz w:val="32"/>
                <w:szCs w:val="32"/>
                <w:lang w:val="zh-CN" w:eastAsia="zh-CN" w:bidi="zh-CN"/>
              </w:rPr>
              <w:t>甲方：海南联合资产管理有限公司</w:t>
            </w:r>
          </w:p>
        </w:tc>
        <w:tc>
          <w:tcPr>
            <w:tcW w:w="4511" w:type="dxa"/>
            <w:vAlign w:val="top"/>
          </w:tcPr>
          <w:p w14:paraId="46AEBCAC">
            <w:pPr>
              <w:keepNext w:val="0"/>
              <w:keepLines w:val="0"/>
              <w:pageBreakBefore w:val="0"/>
              <w:widowControl w:val="0"/>
              <w:tabs>
                <w:tab w:val="left" w:pos="1785"/>
              </w:tabs>
              <w:kinsoku/>
              <w:wordWrap w:val="0"/>
              <w:overflowPunct w:val="0"/>
              <w:topLinePunct w:val="0"/>
              <w:autoSpaceDE w:val="0"/>
              <w:autoSpaceDN w:val="0"/>
              <w:bidi w:val="0"/>
              <w:adjustRightInd/>
              <w:snapToGrid/>
              <w:spacing w:after="0" w:line="560" w:lineRule="exact"/>
              <w:ind w:left="0" w:leftChars="0" w:right="0" w:rightChars="0"/>
              <w:jc w:val="both"/>
              <w:textAlignment w:val="auto"/>
              <w:rPr>
                <w:rFonts w:hint="eastAsia" w:ascii="仿宋_GB2312" w:hAnsi="仿宋_GB2312" w:eastAsia="仿宋_GB2312" w:cs="仿宋_GB2312"/>
                <w:color w:val="auto"/>
                <w:sz w:val="32"/>
                <w:szCs w:val="32"/>
                <w:lang w:val="zh-CN" w:eastAsia="zh-CN" w:bidi="zh-CN"/>
              </w:rPr>
            </w:pPr>
            <w:r>
              <w:rPr>
                <w:rFonts w:hint="eastAsia" w:ascii="仿宋_GB2312" w:hAnsi="仿宋_GB2312" w:eastAsia="仿宋_GB2312" w:cs="仿宋_GB2312"/>
                <w:color w:val="auto"/>
                <w:sz w:val="32"/>
                <w:szCs w:val="32"/>
                <w:lang w:val="zh-CN" w:eastAsia="zh-CN" w:bidi="zh-CN"/>
              </w:rPr>
              <w:t>乙方：</w:t>
            </w:r>
          </w:p>
        </w:tc>
      </w:tr>
      <w:tr w14:paraId="3C6E9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8" w:hRule="atLeast"/>
          <w:jc w:val="center"/>
        </w:trPr>
        <w:tc>
          <w:tcPr>
            <w:tcW w:w="4508" w:type="dxa"/>
          </w:tcPr>
          <w:p w14:paraId="5BC1D4EE">
            <w:pPr>
              <w:keepNext w:val="0"/>
              <w:keepLines w:val="0"/>
              <w:pageBreakBefore w:val="0"/>
              <w:widowControl w:val="0"/>
              <w:kinsoku/>
              <w:wordWrap w:val="0"/>
              <w:overflowPunct w:val="0"/>
              <w:topLinePunct w:val="0"/>
              <w:autoSpaceDE w:val="0"/>
              <w:autoSpaceDN w:val="0"/>
              <w:bidi w:val="0"/>
              <w:adjustRightInd/>
              <w:spacing w:after="0" w:line="560" w:lineRule="exact"/>
              <w:ind w:left="0" w:right="0"/>
              <w:jc w:val="both"/>
              <w:textAlignment w:val="auto"/>
              <w:rPr>
                <w:rFonts w:hint="eastAsia" w:ascii="仿宋_GB2312" w:hAnsi="仿宋_GB2312" w:eastAsia="仿宋_GB2312" w:cs="仿宋_GB2312"/>
                <w:color w:val="auto"/>
                <w:sz w:val="32"/>
                <w:szCs w:val="32"/>
                <w:lang w:val="zh-CN" w:eastAsia="zh-CN" w:bidi="zh-CN"/>
              </w:rPr>
            </w:pPr>
            <w:r>
              <w:rPr>
                <w:rFonts w:hint="eastAsia" w:ascii="仿宋_GB2312" w:hAnsi="仿宋_GB2312" w:eastAsia="仿宋_GB2312" w:cs="仿宋_GB2312"/>
                <w:color w:val="auto"/>
                <w:sz w:val="32"/>
                <w:szCs w:val="32"/>
                <w:lang w:val="zh-CN" w:eastAsia="zh-CN" w:bidi="zh-CN"/>
              </w:rPr>
              <w:t>法定代表人：</w:t>
            </w:r>
          </w:p>
        </w:tc>
        <w:tc>
          <w:tcPr>
            <w:tcW w:w="4511" w:type="dxa"/>
          </w:tcPr>
          <w:p w14:paraId="153D0C0A">
            <w:pPr>
              <w:keepNext w:val="0"/>
              <w:keepLines w:val="0"/>
              <w:pageBreakBefore w:val="0"/>
              <w:widowControl w:val="0"/>
              <w:kinsoku/>
              <w:wordWrap w:val="0"/>
              <w:overflowPunct w:val="0"/>
              <w:topLinePunct w:val="0"/>
              <w:autoSpaceDE w:val="0"/>
              <w:autoSpaceDN w:val="0"/>
              <w:bidi w:val="0"/>
              <w:adjustRightInd/>
              <w:spacing w:after="0" w:line="560" w:lineRule="exact"/>
              <w:ind w:left="0" w:right="0"/>
              <w:jc w:val="both"/>
              <w:textAlignment w:val="auto"/>
              <w:rPr>
                <w:rFonts w:hint="eastAsia" w:ascii="仿宋_GB2312" w:hAnsi="仿宋_GB2312" w:eastAsia="仿宋_GB2312" w:cs="仿宋_GB2312"/>
                <w:color w:val="auto"/>
                <w:sz w:val="32"/>
                <w:szCs w:val="32"/>
                <w:lang w:val="zh-CN" w:eastAsia="zh-CN" w:bidi="zh-CN"/>
              </w:rPr>
            </w:pPr>
            <w:r>
              <w:rPr>
                <w:rFonts w:hint="eastAsia" w:ascii="仿宋_GB2312" w:hAnsi="仿宋_GB2312" w:eastAsia="仿宋_GB2312" w:cs="仿宋_GB2312"/>
                <w:color w:val="auto"/>
                <w:sz w:val="32"/>
                <w:szCs w:val="32"/>
                <w:lang w:val="zh-CN" w:eastAsia="zh-CN" w:bidi="zh-CN"/>
              </w:rPr>
              <w:t>法定代表人：</w:t>
            </w:r>
          </w:p>
        </w:tc>
      </w:tr>
      <w:tr w14:paraId="179D1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4" w:hRule="atLeast"/>
          <w:jc w:val="center"/>
        </w:trPr>
        <w:tc>
          <w:tcPr>
            <w:tcW w:w="4508" w:type="dxa"/>
          </w:tcPr>
          <w:p w14:paraId="68DF263A">
            <w:pPr>
              <w:keepNext w:val="0"/>
              <w:keepLines w:val="0"/>
              <w:pageBreakBefore w:val="0"/>
              <w:widowControl w:val="0"/>
              <w:kinsoku/>
              <w:wordWrap w:val="0"/>
              <w:overflowPunct w:val="0"/>
              <w:topLinePunct w:val="0"/>
              <w:autoSpaceDE w:val="0"/>
              <w:autoSpaceDN w:val="0"/>
              <w:bidi w:val="0"/>
              <w:adjustRightInd/>
              <w:spacing w:after="0" w:line="560" w:lineRule="exact"/>
              <w:ind w:left="0" w:right="0"/>
              <w:jc w:val="both"/>
              <w:textAlignment w:val="auto"/>
              <w:rPr>
                <w:rFonts w:hint="eastAsia" w:ascii="仿宋_GB2312" w:hAnsi="仿宋_GB2312" w:eastAsia="仿宋_GB2312" w:cs="仿宋_GB2312"/>
                <w:color w:val="auto"/>
                <w:sz w:val="32"/>
                <w:szCs w:val="32"/>
                <w:lang w:val="zh-CN" w:eastAsia="zh-CN" w:bidi="zh-CN"/>
              </w:rPr>
            </w:pPr>
            <w:r>
              <w:rPr>
                <w:rFonts w:hint="eastAsia" w:ascii="仿宋_GB2312" w:hAnsi="仿宋_GB2312" w:eastAsia="仿宋_GB2312" w:cs="仿宋_GB2312"/>
                <w:color w:val="auto"/>
                <w:sz w:val="32"/>
                <w:szCs w:val="32"/>
                <w:lang w:val="zh-CN" w:eastAsia="zh-CN" w:bidi="zh-CN"/>
              </w:rPr>
              <w:t>地址：</w:t>
            </w:r>
          </w:p>
        </w:tc>
        <w:tc>
          <w:tcPr>
            <w:tcW w:w="4511" w:type="dxa"/>
          </w:tcPr>
          <w:p w14:paraId="3CA9761D">
            <w:pPr>
              <w:keepNext w:val="0"/>
              <w:keepLines w:val="0"/>
              <w:pageBreakBefore w:val="0"/>
              <w:widowControl w:val="0"/>
              <w:kinsoku/>
              <w:wordWrap w:val="0"/>
              <w:overflowPunct w:val="0"/>
              <w:topLinePunct w:val="0"/>
              <w:autoSpaceDE w:val="0"/>
              <w:autoSpaceDN w:val="0"/>
              <w:bidi w:val="0"/>
              <w:adjustRightInd/>
              <w:spacing w:after="0" w:line="560" w:lineRule="exact"/>
              <w:ind w:left="0" w:right="0"/>
              <w:jc w:val="both"/>
              <w:textAlignment w:val="auto"/>
              <w:rPr>
                <w:rFonts w:hint="eastAsia" w:ascii="仿宋_GB2312" w:hAnsi="仿宋_GB2312" w:eastAsia="仿宋_GB2312" w:cs="仿宋_GB2312"/>
                <w:color w:val="auto"/>
                <w:sz w:val="32"/>
                <w:szCs w:val="32"/>
                <w:lang w:val="zh-CN" w:eastAsia="zh-CN" w:bidi="zh-CN"/>
              </w:rPr>
            </w:pPr>
            <w:r>
              <w:rPr>
                <w:rFonts w:hint="eastAsia" w:ascii="仿宋_GB2312" w:hAnsi="仿宋_GB2312" w:eastAsia="仿宋_GB2312" w:cs="仿宋_GB2312"/>
                <w:color w:val="auto"/>
                <w:sz w:val="32"/>
                <w:szCs w:val="32"/>
                <w:lang w:val="zh-CN" w:eastAsia="zh-CN" w:bidi="zh-CN"/>
              </w:rPr>
              <w:t>地址：</w:t>
            </w:r>
          </w:p>
        </w:tc>
      </w:tr>
      <w:tr w14:paraId="2808B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7" w:hRule="atLeast"/>
          <w:jc w:val="center"/>
        </w:trPr>
        <w:tc>
          <w:tcPr>
            <w:tcW w:w="4508" w:type="dxa"/>
          </w:tcPr>
          <w:p w14:paraId="18C01C0B">
            <w:pPr>
              <w:keepNext w:val="0"/>
              <w:keepLines w:val="0"/>
              <w:pageBreakBefore w:val="0"/>
              <w:widowControl w:val="0"/>
              <w:kinsoku/>
              <w:wordWrap w:val="0"/>
              <w:overflowPunct w:val="0"/>
              <w:topLinePunct w:val="0"/>
              <w:autoSpaceDE w:val="0"/>
              <w:autoSpaceDN w:val="0"/>
              <w:bidi w:val="0"/>
              <w:adjustRightInd/>
              <w:spacing w:after="0" w:line="560" w:lineRule="exact"/>
              <w:ind w:left="0" w:right="0"/>
              <w:jc w:val="both"/>
              <w:textAlignment w:val="auto"/>
              <w:rPr>
                <w:rFonts w:hint="eastAsia" w:ascii="仿宋_GB2312" w:hAnsi="仿宋_GB2312" w:eastAsia="仿宋_GB2312" w:cs="仿宋_GB2312"/>
                <w:color w:val="auto"/>
                <w:sz w:val="32"/>
                <w:szCs w:val="32"/>
                <w:lang w:val="zh-CN" w:eastAsia="zh-CN" w:bidi="zh-CN"/>
              </w:rPr>
            </w:pPr>
            <w:r>
              <w:rPr>
                <w:rFonts w:hint="eastAsia" w:ascii="仿宋_GB2312" w:hAnsi="仿宋_GB2312" w:eastAsia="仿宋_GB2312" w:cs="仿宋_GB2312"/>
                <w:color w:val="auto"/>
                <w:sz w:val="32"/>
                <w:szCs w:val="32"/>
                <w:lang w:val="zh-CN" w:eastAsia="zh-CN" w:bidi="zh-CN"/>
              </w:rPr>
              <w:t>电话：</w:t>
            </w:r>
          </w:p>
        </w:tc>
        <w:tc>
          <w:tcPr>
            <w:tcW w:w="4511" w:type="dxa"/>
          </w:tcPr>
          <w:p w14:paraId="35FCCCE3">
            <w:pPr>
              <w:keepNext w:val="0"/>
              <w:keepLines w:val="0"/>
              <w:pageBreakBefore w:val="0"/>
              <w:widowControl w:val="0"/>
              <w:kinsoku/>
              <w:wordWrap w:val="0"/>
              <w:overflowPunct w:val="0"/>
              <w:topLinePunct w:val="0"/>
              <w:autoSpaceDE w:val="0"/>
              <w:autoSpaceDN w:val="0"/>
              <w:bidi w:val="0"/>
              <w:adjustRightInd/>
              <w:spacing w:after="0" w:line="560" w:lineRule="exact"/>
              <w:ind w:left="0" w:right="0"/>
              <w:jc w:val="both"/>
              <w:textAlignment w:val="auto"/>
              <w:rPr>
                <w:rFonts w:hint="eastAsia" w:ascii="仿宋_GB2312" w:hAnsi="仿宋_GB2312" w:eastAsia="仿宋_GB2312" w:cs="仿宋_GB2312"/>
                <w:color w:val="auto"/>
                <w:sz w:val="32"/>
                <w:szCs w:val="32"/>
                <w:lang w:val="zh-CN" w:eastAsia="zh-CN" w:bidi="zh-CN"/>
              </w:rPr>
            </w:pPr>
            <w:r>
              <w:rPr>
                <w:rFonts w:hint="eastAsia" w:ascii="仿宋_GB2312" w:hAnsi="仿宋_GB2312" w:eastAsia="仿宋_GB2312" w:cs="仿宋_GB2312"/>
                <w:color w:val="auto"/>
                <w:sz w:val="32"/>
                <w:szCs w:val="32"/>
                <w:lang w:val="zh-CN" w:eastAsia="zh-CN" w:bidi="zh-CN"/>
              </w:rPr>
              <w:t>电话：</w:t>
            </w:r>
          </w:p>
        </w:tc>
      </w:tr>
      <w:tr w14:paraId="3C8F6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4508" w:type="dxa"/>
          </w:tcPr>
          <w:p w14:paraId="50FE7876">
            <w:pPr>
              <w:keepNext w:val="0"/>
              <w:keepLines w:val="0"/>
              <w:pageBreakBefore w:val="0"/>
              <w:widowControl w:val="0"/>
              <w:kinsoku/>
              <w:wordWrap w:val="0"/>
              <w:overflowPunct w:val="0"/>
              <w:topLinePunct w:val="0"/>
              <w:autoSpaceDE w:val="0"/>
              <w:autoSpaceDN w:val="0"/>
              <w:bidi w:val="0"/>
              <w:adjustRightInd/>
              <w:spacing w:after="0" w:line="560" w:lineRule="exact"/>
              <w:ind w:left="0" w:right="0"/>
              <w:jc w:val="both"/>
              <w:textAlignment w:val="auto"/>
              <w:rPr>
                <w:rFonts w:hint="eastAsia" w:ascii="仿宋_GB2312" w:hAnsi="仿宋_GB2312" w:eastAsia="仿宋_GB2312" w:cs="仿宋_GB2312"/>
                <w:color w:val="auto"/>
                <w:sz w:val="32"/>
                <w:szCs w:val="32"/>
                <w:lang w:val="zh-CN" w:eastAsia="zh-CN" w:bidi="zh-CN"/>
              </w:rPr>
            </w:pPr>
            <w:r>
              <w:rPr>
                <w:rFonts w:hint="eastAsia" w:ascii="仿宋_GB2312" w:hAnsi="仿宋_GB2312" w:eastAsia="仿宋_GB2312" w:cs="仿宋_GB2312"/>
                <w:color w:val="auto"/>
                <w:sz w:val="32"/>
                <w:szCs w:val="32"/>
                <w:lang w:val="zh-CN" w:eastAsia="zh-CN" w:bidi="zh-CN"/>
              </w:rPr>
              <w:t>开户行：</w:t>
            </w:r>
          </w:p>
        </w:tc>
        <w:tc>
          <w:tcPr>
            <w:tcW w:w="4511" w:type="dxa"/>
          </w:tcPr>
          <w:p w14:paraId="5CBB8222">
            <w:pPr>
              <w:keepNext w:val="0"/>
              <w:keepLines w:val="0"/>
              <w:pageBreakBefore w:val="0"/>
              <w:widowControl w:val="0"/>
              <w:kinsoku/>
              <w:wordWrap w:val="0"/>
              <w:overflowPunct w:val="0"/>
              <w:topLinePunct w:val="0"/>
              <w:autoSpaceDE w:val="0"/>
              <w:autoSpaceDN w:val="0"/>
              <w:bidi w:val="0"/>
              <w:adjustRightInd/>
              <w:spacing w:after="0" w:line="560" w:lineRule="exact"/>
              <w:ind w:left="0" w:right="0"/>
              <w:jc w:val="both"/>
              <w:textAlignment w:val="auto"/>
              <w:rPr>
                <w:rFonts w:hint="eastAsia" w:ascii="仿宋_GB2312" w:hAnsi="仿宋_GB2312" w:eastAsia="仿宋_GB2312" w:cs="仿宋_GB2312"/>
                <w:color w:val="auto"/>
                <w:sz w:val="32"/>
                <w:szCs w:val="32"/>
                <w:lang w:val="zh-CN" w:eastAsia="zh-CN" w:bidi="zh-CN"/>
              </w:rPr>
            </w:pPr>
            <w:r>
              <w:rPr>
                <w:rFonts w:hint="eastAsia" w:ascii="仿宋_GB2312" w:hAnsi="仿宋_GB2312" w:eastAsia="仿宋_GB2312" w:cs="仿宋_GB2312"/>
                <w:color w:val="auto"/>
                <w:sz w:val="32"/>
                <w:szCs w:val="32"/>
                <w:lang w:val="zh-CN" w:eastAsia="zh-CN" w:bidi="zh-CN"/>
              </w:rPr>
              <w:t>开户行：</w:t>
            </w:r>
          </w:p>
        </w:tc>
      </w:tr>
      <w:tr w14:paraId="7BB34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jc w:val="center"/>
        </w:trPr>
        <w:tc>
          <w:tcPr>
            <w:tcW w:w="4508" w:type="dxa"/>
          </w:tcPr>
          <w:p w14:paraId="7FF7BA4E">
            <w:pPr>
              <w:keepNext w:val="0"/>
              <w:keepLines w:val="0"/>
              <w:pageBreakBefore w:val="0"/>
              <w:widowControl w:val="0"/>
              <w:kinsoku/>
              <w:wordWrap w:val="0"/>
              <w:overflowPunct w:val="0"/>
              <w:topLinePunct w:val="0"/>
              <w:autoSpaceDE w:val="0"/>
              <w:autoSpaceDN w:val="0"/>
              <w:bidi w:val="0"/>
              <w:adjustRightInd/>
              <w:spacing w:after="0" w:line="560" w:lineRule="exact"/>
              <w:ind w:left="0" w:right="0"/>
              <w:jc w:val="both"/>
              <w:textAlignment w:val="auto"/>
              <w:rPr>
                <w:rFonts w:hint="eastAsia" w:ascii="仿宋_GB2312" w:hAnsi="仿宋_GB2312" w:eastAsia="仿宋_GB2312" w:cs="仿宋_GB2312"/>
                <w:color w:val="auto"/>
                <w:sz w:val="32"/>
                <w:szCs w:val="32"/>
                <w:lang w:val="zh-CN" w:eastAsia="zh-CN" w:bidi="zh-CN"/>
              </w:rPr>
            </w:pPr>
            <w:r>
              <w:rPr>
                <w:rFonts w:hint="eastAsia" w:ascii="仿宋_GB2312" w:hAnsi="仿宋_GB2312" w:eastAsia="仿宋_GB2312" w:cs="仿宋_GB2312"/>
                <w:color w:val="auto"/>
                <w:sz w:val="32"/>
                <w:szCs w:val="32"/>
                <w:lang w:val="zh-CN" w:eastAsia="zh-CN" w:bidi="zh-CN"/>
              </w:rPr>
              <w:t>帐号：</w:t>
            </w:r>
          </w:p>
        </w:tc>
        <w:tc>
          <w:tcPr>
            <w:tcW w:w="4511" w:type="dxa"/>
          </w:tcPr>
          <w:p w14:paraId="5462EE12">
            <w:pPr>
              <w:keepNext w:val="0"/>
              <w:keepLines w:val="0"/>
              <w:pageBreakBefore w:val="0"/>
              <w:widowControl w:val="0"/>
              <w:kinsoku/>
              <w:wordWrap w:val="0"/>
              <w:overflowPunct w:val="0"/>
              <w:topLinePunct w:val="0"/>
              <w:autoSpaceDE w:val="0"/>
              <w:autoSpaceDN w:val="0"/>
              <w:bidi w:val="0"/>
              <w:adjustRightInd/>
              <w:spacing w:after="0" w:line="560" w:lineRule="exact"/>
              <w:ind w:left="0" w:right="0"/>
              <w:jc w:val="both"/>
              <w:textAlignment w:val="auto"/>
              <w:rPr>
                <w:rFonts w:hint="eastAsia" w:ascii="仿宋_GB2312" w:hAnsi="仿宋_GB2312" w:eastAsia="仿宋_GB2312" w:cs="仿宋_GB2312"/>
                <w:color w:val="auto"/>
                <w:sz w:val="32"/>
                <w:szCs w:val="32"/>
                <w:lang w:val="en-US" w:eastAsia="zh-CN" w:bidi="zh-CN"/>
              </w:rPr>
            </w:pPr>
            <w:r>
              <w:rPr>
                <w:rFonts w:hint="eastAsia" w:ascii="仿宋_GB2312" w:hAnsi="仿宋_GB2312" w:eastAsia="仿宋_GB2312" w:cs="仿宋_GB2312"/>
                <w:color w:val="auto"/>
                <w:sz w:val="32"/>
                <w:szCs w:val="32"/>
                <w:lang w:val="zh-CN" w:eastAsia="zh-CN" w:bidi="zh-CN"/>
              </w:rPr>
              <w:t>帐号：</w:t>
            </w:r>
          </w:p>
        </w:tc>
      </w:tr>
    </w:tbl>
    <w:p w14:paraId="27E2230C">
      <w:pPr>
        <w:pStyle w:val="12"/>
        <w:keepNext w:val="0"/>
        <w:keepLines w:val="0"/>
        <w:pageBreakBefore w:val="0"/>
        <w:widowControl w:val="0"/>
        <w:kinsoku/>
        <w:wordWrap w:val="0"/>
        <w:overflowPunct w:val="0"/>
        <w:topLinePunct w:val="0"/>
        <w:bidi w:val="0"/>
        <w:adjustRightInd/>
        <w:spacing w:line="560" w:lineRule="exact"/>
        <w:ind w:left="0"/>
        <w:jc w:val="both"/>
        <w:textAlignment w:val="auto"/>
        <w:rPr>
          <w:rFonts w:hint="eastAsia" w:ascii="仿宋_GB2312" w:hAnsi="仿宋_GB2312" w:eastAsia="仿宋_GB2312" w:cs="仿宋_GB2312"/>
          <w:color w:val="auto"/>
          <w:sz w:val="32"/>
          <w:szCs w:val="32"/>
        </w:rPr>
      </w:pPr>
    </w:p>
    <w:p w14:paraId="278FB228">
      <w:pPr>
        <w:pStyle w:val="12"/>
        <w:keepNext w:val="0"/>
        <w:keepLines w:val="0"/>
        <w:pageBreakBefore w:val="0"/>
        <w:widowControl w:val="0"/>
        <w:kinsoku/>
        <w:wordWrap w:val="0"/>
        <w:overflowPunct w:val="0"/>
        <w:topLinePunct w:val="0"/>
        <w:bidi w:val="0"/>
        <w:adjustRightInd/>
        <w:spacing w:line="560" w:lineRule="exact"/>
        <w:ind w:left="0"/>
        <w:jc w:val="both"/>
        <w:textAlignment w:val="auto"/>
        <w:rPr>
          <w:rFonts w:hint="eastAsia" w:ascii="仿宋_GB2312" w:hAnsi="仿宋_GB2312" w:eastAsia="仿宋_GB2312" w:cs="仿宋_GB2312"/>
          <w:color w:val="auto"/>
          <w:sz w:val="32"/>
          <w:szCs w:val="32"/>
        </w:rPr>
      </w:pPr>
    </w:p>
    <w:p w14:paraId="6EF0A0E1">
      <w:pPr>
        <w:pStyle w:val="12"/>
        <w:keepNext w:val="0"/>
        <w:keepLines w:val="0"/>
        <w:pageBreakBefore w:val="0"/>
        <w:widowControl w:val="0"/>
        <w:tabs>
          <w:tab w:val="left" w:pos="7183"/>
          <w:tab w:val="left" w:pos="8162"/>
          <w:tab w:val="left" w:pos="9002"/>
        </w:tabs>
        <w:kinsoku/>
        <w:wordWrap w:val="0"/>
        <w:overflowPunct w:val="0"/>
        <w:topLinePunct w:val="0"/>
        <w:bidi w:val="0"/>
        <w:adjustRightInd/>
        <w:spacing w:line="560" w:lineRule="exact"/>
        <w:ind w:left="0"/>
        <w:jc w:val="right"/>
        <w:textAlignment w:val="auto"/>
        <w:rPr>
          <w:rFonts w:hint="eastAsia" w:ascii="仿宋_GB2312" w:hAnsi="仿宋_GB2312" w:eastAsia="仿宋_GB2312" w:cs="仿宋_GB2312"/>
          <w:color w:val="auto"/>
          <w:sz w:val="32"/>
          <w:szCs w:val="32"/>
          <w:lang w:eastAsia="zh-CN" w:bidi="ar-SA"/>
        </w:rPr>
      </w:pPr>
      <w:r>
        <w:rPr>
          <w:rFonts w:hint="eastAsia" w:ascii="仿宋_GB2312" w:hAnsi="仿宋_GB2312" w:eastAsia="仿宋_GB2312" w:cs="仿宋_GB2312"/>
          <w:color w:val="auto"/>
          <w:sz w:val="32"/>
          <w:szCs w:val="32"/>
        </w:rPr>
        <w:t>签</w:t>
      </w:r>
      <w:r>
        <w:rPr>
          <w:rFonts w:hint="eastAsia" w:ascii="仿宋_GB2312" w:hAnsi="仿宋_GB2312" w:eastAsia="仿宋_GB2312" w:cs="仿宋_GB2312"/>
          <w:color w:val="auto"/>
          <w:sz w:val="32"/>
          <w:szCs w:val="32"/>
          <w:lang w:val="en-US" w:eastAsia="zh-CN"/>
        </w:rPr>
        <w:t>订</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pacing w:val="-3"/>
          <w:sz w:val="32"/>
          <w:szCs w:val="32"/>
        </w:rPr>
        <w:t>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w:t>
      </w:r>
    </w:p>
    <w:p w14:paraId="42300342">
      <w:pPr>
        <w:rPr>
          <w:rFonts w:hint="eastAsia" w:ascii="宋体" w:hAnsi="宋体"/>
          <w:color w:val="auto"/>
          <w:sz w:val="36"/>
          <w:szCs w:val="36"/>
        </w:rPr>
      </w:pPr>
      <w:r>
        <w:rPr>
          <w:color w:val="auto"/>
          <w:lang w:eastAsia="zh-CN" w:bidi="ar-SA"/>
        </w:rPr>
        <w:br w:type="page"/>
      </w:r>
      <w:bookmarkStart w:id="23" w:name="_Toc81784930"/>
    </w:p>
    <w:bookmarkEnd w:id="20"/>
    <w:bookmarkEnd w:id="23"/>
    <w:p w14:paraId="542971E3">
      <w:pPr>
        <w:pStyle w:val="2"/>
        <w:keepNext/>
        <w:keepLines/>
        <w:pageBreakBefore w:val="0"/>
        <w:widowControl w:val="0"/>
        <w:kinsoku/>
        <w:wordWrap w:val="0"/>
        <w:overflowPunct w:val="0"/>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b w:val="0"/>
          <w:bCs w:val="0"/>
          <w:color w:val="auto"/>
          <w:lang w:val="en-US" w:eastAsia="zh-CN"/>
        </w:rPr>
      </w:pPr>
      <w:bookmarkStart w:id="24" w:name="_Toc23147"/>
      <w:r>
        <w:rPr>
          <w:rFonts w:hint="eastAsia" w:ascii="黑体" w:hAnsi="黑体" w:eastAsia="黑体" w:cs="黑体"/>
          <w:b w:val="0"/>
          <w:bCs w:val="0"/>
          <w:color w:val="auto"/>
          <w:lang w:val="en-US" w:eastAsia="zh-CN"/>
        </w:rPr>
        <mc:AlternateContent>
          <mc:Choice Requires="wps">
            <w:drawing>
              <wp:anchor distT="0" distB="0" distL="114300" distR="114300" simplePos="0" relativeHeight="251659264" behindDoc="0" locked="0" layoutInCell="1" allowOverlap="1">
                <wp:simplePos x="0" y="0"/>
                <wp:positionH relativeFrom="column">
                  <wp:posOffset>4241800</wp:posOffset>
                </wp:positionH>
                <wp:positionV relativeFrom="paragraph">
                  <wp:posOffset>175895</wp:posOffset>
                </wp:positionV>
                <wp:extent cx="1222375" cy="523875"/>
                <wp:effectExtent l="4445" t="4445" r="11430" b="5080"/>
                <wp:wrapNone/>
                <wp:docPr id="6" name="文本框 6"/>
                <wp:cNvGraphicFramePr/>
                <a:graphic xmlns:a="http://schemas.openxmlformats.org/drawingml/2006/main">
                  <a:graphicData uri="http://schemas.microsoft.com/office/word/2010/wordprocessingShape">
                    <wps:wsp>
                      <wps:cNvSpPr txBox="1"/>
                      <wps:spPr>
                        <a:xfrm>
                          <a:off x="5384800" y="1090295"/>
                          <a:ext cx="1222375" cy="523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483126A">
                            <w:pPr>
                              <w:jc w:val="distribute"/>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正本</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4pt;margin-top:13.85pt;height:41.25pt;width:96.25pt;z-index:251659264;mso-width-relative:page;mso-height-relative:page;" fillcolor="#FFFFFF [3201]" filled="t" stroked="t" coordsize="21600,21600" o:gfxdata="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0OyfjXAAAACgEAAA8AAAAAAAAAAQAgAAAAIgAAAGRycy9kb3ducmV2LnhtbFBLAQIUABQA&#10;AAAIAIdO4kBhygFNYwIAAMMEAAAOAAAAAAAAAAEAIAAAACYBAABkcnMvZTJvRG9jLnhtbFBLBQYA&#10;AAAABgAGAFkBAAD7BQAAAAA=&#10;">
                <v:fill on="t" focussize="0,0"/>
                <v:stroke weight="0.5pt" color="#000000 [3204]" joinstyle="round"/>
                <v:imagedata o:title=""/>
                <o:lock v:ext="edit" aspectratio="f"/>
                <v:textbox>
                  <w:txbxContent>
                    <w:p w14:paraId="7483126A">
                      <w:pPr>
                        <w:jc w:val="distribute"/>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正本</w:t>
                      </w:r>
                    </w:p>
                  </w:txbxContent>
                </v:textbox>
              </v:shape>
            </w:pict>
          </mc:Fallback>
        </mc:AlternateContent>
      </w:r>
      <w:r>
        <w:rPr>
          <w:rFonts w:hint="eastAsia" w:ascii="黑体" w:hAnsi="黑体" w:eastAsia="黑体" w:cs="黑体"/>
          <w:b w:val="0"/>
          <w:bCs w:val="0"/>
          <w:color w:val="auto"/>
          <w:lang w:val="en-US" w:eastAsia="zh-CN"/>
        </w:rPr>
        <w:t>第五章 参选文件格式</w:t>
      </w:r>
      <w:bookmarkEnd w:id="24"/>
    </w:p>
    <w:p w14:paraId="7EF4C3F3">
      <w:pPr>
        <w:bidi w:val="0"/>
        <w:jc w:val="both"/>
        <w:rPr>
          <w:rFonts w:hint="eastAsia" w:ascii="仿宋_GB2312" w:hAnsi="仿宋_GB2312" w:eastAsia="仿宋_GB2312" w:cs="仿宋_GB2312"/>
          <w:color w:val="auto"/>
          <w:sz w:val="32"/>
          <w:szCs w:val="32"/>
        </w:rPr>
      </w:pPr>
    </w:p>
    <w:p w14:paraId="773F6B97">
      <w:pPr>
        <w:bidi w:val="0"/>
        <w:jc w:val="center"/>
        <w:rPr>
          <w:rFonts w:hint="eastAsia" w:ascii="方正小标宋简体" w:hAnsi="方正小标宋简体" w:eastAsia="方正小标宋简体" w:cs="方正小标宋简体"/>
          <w:color w:val="auto"/>
          <w:sz w:val="44"/>
          <w:szCs w:val="52"/>
        </w:rPr>
      </w:pPr>
      <w:r>
        <w:rPr>
          <w:rFonts w:hint="eastAsia" w:ascii="方正小标宋简体" w:hAnsi="方正小标宋简体" w:eastAsia="方正小标宋简体" w:cs="方正小标宋简体"/>
          <w:color w:val="auto"/>
          <w:sz w:val="44"/>
          <w:szCs w:val="52"/>
        </w:rPr>
        <w:t>海南联合资产管理有限公司</w:t>
      </w:r>
    </w:p>
    <w:p w14:paraId="769947B6">
      <w:pPr>
        <w:bidi w:val="0"/>
        <w:jc w:val="center"/>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sz w:val="44"/>
          <w:szCs w:val="52"/>
        </w:rPr>
        <w:t>公开比选常年法律顾问项目</w:t>
      </w:r>
    </w:p>
    <w:p w14:paraId="74863CB7">
      <w:pPr>
        <w:bidi w:val="0"/>
        <w:rPr>
          <w:rFonts w:hint="eastAsia" w:ascii="仿宋_GB2312" w:hAnsi="仿宋_GB2312" w:eastAsia="仿宋_GB2312" w:cs="仿宋_GB2312"/>
          <w:color w:val="auto"/>
          <w:sz w:val="32"/>
          <w:szCs w:val="32"/>
        </w:rPr>
      </w:pPr>
    </w:p>
    <w:p w14:paraId="2CBF30A6">
      <w:pPr>
        <w:bidi w:val="0"/>
        <w:jc w:val="center"/>
        <w:rPr>
          <w:rFonts w:hint="eastAsia" w:ascii="方正小标宋简体" w:hAnsi="方正小标宋简体" w:eastAsia="方正小标宋简体" w:cs="方正小标宋简体"/>
          <w:b w:val="0"/>
          <w:bCs w:val="0"/>
          <w:color w:val="auto"/>
          <w:sz w:val="96"/>
          <w:szCs w:val="96"/>
          <w:lang w:val="en-US" w:eastAsia="zh-CN"/>
        </w:rPr>
      </w:pPr>
      <w:r>
        <w:rPr>
          <w:rFonts w:hint="eastAsia" w:ascii="方正小标宋简体" w:hAnsi="方正小标宋简体" w:eastAsia="方正小标宋简体" w:cs="方正小标宋简体"/>
          <w:b w:val="0"/>
          <w:bCs w:val="0"/>
          <w:color w:val="auto"/>
          <w:sz w:val="96"/>
          <w:szCs w:val="96"/>
          <w:lang w:val="en-US" w:eastAsia="zh-CN"/>
        </w:rPr>
        <w:t>参</w:t>
      </w:r>
    </w:p>
    <w:p w14:paraId="724B5E18">
      <w:pPr>
        <w:bidi w:val="0"/>
        <w:jc w:val="center"/>
        <w:rPr>
          <w:rFonts w:hint="eastAsia" w:ascii="方正小标宋简体" w:hAnsi="方正小标宋简体" w:eastAsia="方正小标宋简体" w:cs="方正小标宋简体"/>
          <w:b w:val="0"/>
          <w:bCs w:val="0"/>
          <w:color w:val="auto"/>
          <w:sz w:val="96"/>
          <w:szCs w:val="96"/>
          <w:lang w:val="en-US" w:eastAsia="zh-CN"/>
        </w:rPr>
      </w:pPr>
      <w:r>
        <w:rPr>
          <w:rFonts w:hint="eastAsia" w:ascii="方正小标宋简体" w:hAnsi="方正小标宋简体" w:eastAsia="方正小标宋简体" w:cs="方正小标宋简体"/>
          <w:b w:val="0"/>
          <w:bCs w:val="0"/>
          <w:color w:val="auto"/>
          <w:sz w:val="96"/>
          <w:szCs w:val="96"/>
          <w:lang w:val="en-US" w:eastAsia="zh-CN"/>
        </w:rPr>
        <w:t>选</w:t>
      </w:r>
    </w:p>
    <w:p w14:paraId="5470489E">
      <w:pPr>
        <w:bidi w:val="0"/>
        <w:jc w:val="center"/>
        <w:rPr>
          <w:rFonts w:hint="eastAsia" w:ascii="方正小标宋简体" w:hAnsi="方正小标宋简体" w:eastAsia="方正小标宋简体" w:cs="方正小标宋简体"/>
          <w:b w:val="0"/>
          <w:bCs w:val="0"/>
          <w:color w:val="auto"/>
          <w:sz w:val="96"/>
          <w:szCs w:val="96"/>
        </w:rPr>
      </w:pPr>
      <w:r>
        <w:rPr>
          <w:rFonts w:hint="eastAsia" w:ascii="方正小标宋简体" w:hAnsi="方正小标宋简体" w:eastAsia="方正小标宋简体" w:cs="方正小标宋简体"/>
          <w:b w:val="0"/>
          <w:bCs w:val="0"/>
          <w:color w:val="auto"/>
          <w:sz w:val="96"/>
          <w:szCs w:val="96"/>
        </w:rPr>
        <w:t>文</w:t>
      </w:r>
    </w:p>
    <w:p w14:paraId="0581B701">
      <w:pPr>
        <w:bidi w:val="0"/>
        <w:jc w:val="center"/>
        <w:rPr>
          <w:rFonts w:hint="eastAsia" w:ascii="方正小标宋简体" w:hAnsi="方正小标宋简体" w:eastAsia="方正小标宋简体" w:cs="方正小标宋简体"/>
          <w:b w:val="0"/>
          <w:bCs w:val="0"/>
          <w:color w:val="auto"/>
          <w:sz w:val="96"/>
          <w:szCs w:val="96"/>
        </w:rPr>
      </w:pPr>
      <w:r>
        <w:rPr>
          <w:rFonts w:hint="eastAsia" w:ascii="方正小标宋简体" w:hAnsi="方正小标宋简体" w:eastAsia="方正小标宋简体" w:cs="方正小标宋简体"/>
          <w:b w:val="0"/>
          <w:bCs w:val="0"/>
          <w:color w:val="auto"/>
          <w:sz w:val="96"/>
          <w:szCs w:val="96"/>
        </w:rPr>
        <w:t>件</w:t>
      </w:r>
    </w:p>
    <w:p w14:paraId="0C9FCA93">
      <w:pPr>
        <w:bidi w:val="0"/>
        <w:rPr>
          <w:rFonts w:hint="eastAsia" w:ascii="仿宋_GB2312" w:hAnsi="仿宋_GB2312" w:eastAsia="仿宋_GB2312" w:cs="仿宋_GB2312"/>
          <w:color w:val="auto"/>
          <w:sz w:val="32"/>
          <w:szCs w:val="32"/>
        </w:rPr>
      </w:pPr>
    </w:p>
    <w:p w14:paraId="5163577A">
      <w:pPr>
        <w:bidi w:val="0"/>
        <w:ind w:firstLine="1280" w:firstLineChars="400"/>
        <w:rPr>
          <w:rFonts w:hint="eastAsia" w:ascii="楷体_GB2312" w:hAnsi="楷体_GB2312" w:eastAsia="楷体_GB2312" w:cs="楷体_GB2312"/>
          <w:b w:val="0"/>
          <w:bCs w:val="0"/>
          <w:color w:val="auto"/>
          <w:sz w:val="32"/>
          <w:szCs w:val="32"/>
          <w:u w:val="single"/>
          <w:lang w:val="en-US" w:eastAsia="zh-CN"/>
        </w:rPr>
      </w:pPr>
      <w:r>
        <w:rPr>
          <w:rFonts w:hint="eastAsia" w:ascii="楷体_GB2312" w:hAnsi="楷体_GB2312" w:eastAsia="楷体_GB2312" w:cs="楷体_GB2312"/>
          <w:b w:val="0"/>
          <w:bCs w:val="0"/>
          <w:color w:val="auto"/>
          <w:sz w:val="32"/>
          <w:szCs w:val="32"/>
          <w:u w:val="none"/>
          <w:lang w:val="en-US" w:eastAsia="zh-CN"/>
        </w:rPr>
        <w:t>参 选 人</w:t>
      </w:r>
      <w:r>
        <w:rPr>
          <w:rFonts w:hint="eastAsia" w:ascii="楷体_GB2312" w:hAnsi="楷体_GB2312" w:eastAsia="楷体_GB2312" w:cs="楷体_GB2312"/>
          <w:b w:val="0"/>
          <w:bCs w:val="0"/>
          <w:color w:val="auto"/>
          <w:sz w:val="32"/>
          <w:szCs w:val="32"/>
          <w:u w:val="none"/>
        </w:rPr>
        <w:t>：</w:t>
      </w:r>
      <w:r>
        <w:rPr>
          <w:rFonts w:hint="eastAsia" w:ascii="楷体_GB2312" w:hAnsi="楷体_GB2312" w:eastAsia="楷体_GB2312" w:cs="楷体_GB2312"/>
          <w:b w:val="0"/>
          <w:bCs w:val="0"/>
          <w:color w:val="auto"/>
          <w:sz w:val="32"/>
          <w:szCs w:val="32"/>
          <w:u w:val="single"/>
          <w:lang w:val="en-US" w:eastAsia="zh-CN"/>
        </w:rPr>
        <w:t xml:space="preserve">                              </w:t>
      </w:r>
    </w:p>
    <w:p w14:paraId="7EF02E63">
      <w:pPr>
        <w:bidi w:val="0"/>
        <w:ind w:firstLine="1280" w:firstLineChars="400"/>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 xml:space="preserve">联系地址：                              </w:t>
      </w:r>
    </w:p>
    <w:p w14:paraId="039D3219">
      <w:pPr>
        <w:bidi w:val="0"/>
        <w:ind w:firstLine="1280" w:firstLineChars="400"/>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 xml:space="preserve">联系方式：                              </w:t>
      </w:r>
    </w:p>
    <w:p w14:paraId="7671AEE6">
      <w:pPr>
        <w:bidi w:val="0"/>
        <w:ind w:firstLine="1280" w:firstLineChars="400"/>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参选日期</w:t>
      </w:r>
      <w:r>
        <w:rPr>
          <w:rFonts w:hint="eastAsia" w:ascii="楷体_GB2312" w:hAnsi="楷体_GB2312" w:eastAsia="楷体_GB2312" w:cs="楷体_GB2312"/>
          <w:b w:val="0"/>
          <w:bCs w:val="0"/>
          <w:color w:val="auto"/>
          <w:sz w:val="32"/>
          <w:szCs w:val="32"/>
          <w:u w:val="none"/>
        </w:rPr>
        <w:t>：</w:t>
      </w:r>
      <w:r>
        <w:rPr>
          <w:rFonts w:hint="eastAsia" w:ascii="楷体_GB2312" w:hAnsi="楷体_GB2312" w:eastAsia="楷体_GB2312" w:cs="楷体_GB2312"/>
          <w:b w:val="0"/>
          <w:bCs w:val="0"/>
          <w:color w:val="auto"/>
          <w:sz w:val="32"/>
          <w:szCs w:val="32"/>
          <w:u w:val="none"/>
          <w:lang w:val="en-US" w:eastAsia="zh-CN"/>
        </w:rPr>
        <w:t xml:space="preserve">                              </w:t>
      </w:r>
    </w:p>
    <w:p w14:paraId="4CE585DE">
      <w:pPr>
        <w:bidi w:val="0"/>
        <w:ind w:firstLine="1285" w:firstLineChars="40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br w:type="page"/>
      </w:r>
    </w:p>
    <w:p w14:paraId="280A2E16">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bookmarkStart w:id="25" w:name="_Toc29854"/>
      <w:bookmarkStart w:id="26" w:name="_Toc6107"/>
      <w:r>
        <w:rPr>
          <w:rFonts w:hint="eastAsia" w:ascii="仿宋_GB2312" w:hAnsi="仿宋_GB2312" w:eastAsia="仿宋_GB2312" w:cs="仿宋_GB2312"/>
          <w:b/>
          <w:bCs/>
          <w:color w:val="auto"/>
          <w:kern w:val="2"/>
          <w:sz w:val="32"/>
          <w:szCs w:val="32"/>
          <w:lang w:val="en-US" w:eastAsia="zh-CN" w:bidi="ar-SA"/>
        </w:rPr>
        <w:t>一、律师事务所执业许可证（另附）</w:t>
      </w:r>
    </w:p>
    <w:p w14:paraId="75644E00">
      <w:pPr>
        <w:keepLines w:val="0"/>
        <w:pageBreakBefore w:val="0"/>
        <w:kinsoku/>
        <w:wordWrap w:val="0"/>
        <w:overflowPunct w:val="0"/>
        <w:topLinePunct w:val="0"/>
        <w:autoSpaceDE/>
        <w:autoSpaceDN/>
        <w:bidi w:val="0"/>
        <w:adjustRightInd/>
        <w:snapToGrid/>
        <w:spacing w:line="560" w:lineRule="atLeast"/>
        <w:textAlignment w:val="auto"/>
        <w:rPr>
          <w:rFonts w:hint="eastAsia" w:ascii="仿宋_GB2312" w:hAnsi="仿宋_GB2312" w:eastAsia="仿宋_GB2312" w:cs="仿宋_GB2312"/>
          <w:color w:val="auto"/>
          <w:sz w:val="32"/>
          <w:szCs w:val="32"/>
        </w:rPr>
      </w:pPr>
    </w:p>
    <w:p w14:paraId="17A566D3">
      <w:pPr>
        <w:pStyle w:val="51"/>
        <w:keepLines w:val="0"/>
        <w:pageBreakBefore w:val="0"/>
        <w:kinsoku/>
        <w:wordWrap w:val="0"/>
        <w:overflowPunct w:val="0"/>
        <w:topLinePunct w:val="0"/>
        <w:autoSpaceDE/>
        <w:autoSpaceDN/>
        <w:bidi w:val="0"/>
        <w:adjustRightInd/>
        <w:snapToGrid/>
        <w:spacing w:line="560" w:lineRule="atLeast"/>
        <w:textAlignment w:val="auto"/>
        <w:rPr>
          <w:rFonts w:hint="eastAsia" w:ascii="仿宋_GB2312" w:hAnsi="仿宋_GB2312" w:eastAsia="仿宋_GB2312" w:cs="仿宋_GB2312"/>
          <w:color w:val="auto"/>
          <w:sz w:val="32"/>
          <w:szCs w:val="32"/>
          <w:lang w:eastAsia="zh-CN"/>
        </w:rPr>
      </w:pPr>
    </w:p>
    <w:p w14:paraId="7F23668E">
      <w:pPr>
        <w:pStyle w:val="51"/>
        <w:keepLines w:val="0"/>
        <w:pageBreakBefore w:val="0"/>
        <w:kinsoku/>
        <w:wordWrap w:val="0"/>
        <w:overflowPunct w:val="0"/>
        <w:topLinePunct w:val="0"/>
        <w:autoSpaceDE/>
        <w:autoSpaceDN/>
        <w:bidi w:val="0"/>
        <w:adjustRightInd/>
        <w:snapToGrid/>
        <w:spacing w:line="560" w:lineRule="atLeast"/>
        <w:textAlignment w:val="auto"/>
        <w:rPr>
          <w:rFonts w:hint="eastAsia" w:ascii="仿宋_GB2312" w:hAnsi="仿宋_GB2312" w:eastAsia="仿宋_GB2312" w:cs="仿宋_GB2312"/>
          <w:color w:val="auto"/>
          <w:sz w:val="32"/>
          <w:szCs w:val="32"/>
          <w:lang w:eastAsia="zh-CN"/>
        </w:rPr>
      </w:pPr>
    </w:p>
    <w:p w14:paraId="7A781F0A">
      <w:pPr>
        <w:pStyle w:val="51"/>
        <w:keepLines w:val="0"/>
        <w:pageBreakBefore w:val="0"/>
        <w:kinsoku/>
        <w:wordWrap w:val="0"/>
        <w:overflowPunct w:val="0"/>
        <w:topLinePunct w:val="0"/>
        <w:autoSpaceDE/>
        <w:autoSpaceDN/>
        <w:bidi w:val="0"/>
        <w:adjustRightInd/>
        <w:snapToGrid/>
        <w:spacing w:line="560" w:lineRule="atLeas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注：复印件须加盖单位公章</w:t>
      </w:r>
    </w:p>
    <w:p w14:paraId="748B9A8E">
      <w:pPr>
        <w:keepLines w:val="0"/>
        <w:pageBreakBefore w:val="0"/>
        <w:kinsoku/>
        <w:wordWrap w:val="0"/>
        <w:overflowPunct w:val="0"/>
        <w:topLinePunct w:val="0"/>
        <w:autoSpaceDE/>
        <w:autoSpaceDN/>
        <w:bidi w:val="0"/>
        <w:adjustRightInd/>
        <w:snapToGrid/>
        <w:spacing w:line="560" w:lineRule="atLeast"/>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br w:type="page"/>
      </w:r>
    </w:p>
    <w:p w14:paraId="6E2BE7C6">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bookmarkStart w:id="27" w:name="_Toc81784931"/>
      <w:r>
        <w:rPr>
          <w:rFonts w:hint="eastAsia" w:ascii="仿宋_GB2312" w:hAnsi="仿宋_GB2312" w:eastAsia="仿宋_GB2312" w:cs="仿宋_GB2312"/>
          <w:b/>
          <w:bCs/>
          <w:color w:val="auto"/>
          <w:kern w:val="2"/>
          <w:sz w:val="32"/>
          <w:szCs w:val="32"/>
          <w:lang w:val="en-US" w:eastAsia="zh-CN" w:bidi="ar-SA"/>
        </w:rPr>
        <w:t>二、法定代表人（负责人）身份证明</w:t>
      </w:r>
      <w:bookmarkEnd w:id="25"/>
      <w:bookmarkEnd w:id="27"/>
    </w:p>
    <w:p w14:paraId="32215269">
      <w:pPr>
        <w:keepLines w:val="0"/>
        <w:pageBreakBefore w:val="0"/>
        <w:kinsoku/>
        <w:wordWrap w:val="0"/>
        <w:overflowPunct w:val="0"/>
        <w:topLinePunct w:val="0"/>
        <w:autoSpaceDE/>
        <w:autoSpaceDN/>
        <w:bidi w:val="0"/>
        <w:snapToGrid/>
        <w:spacing w:line="560" w:lineRule="atLeast"/>
        <w:jc w:val="both"/>
        <w:rPr>
          <w:rFonts w:hint="eastAsia" w:ascii="仿宋_GB2312" w:hAnsi="仿宋_GB2312" w:eastAsia="仿宋_GB2312" w:cs="仿宋_GB2312"/>
          <w:color w:val="auto"/>
          <w:sz w:val="32"/>
          <w:szCs w:val="32"/>
        </w:rPr>
      </w:pPr>
    </w:p>
    <w:p w14:paraId="1E901828">
      <w:pPr>
        <w:keepLines w:val="0"/>
        <w:pageBreakBefore w:val="0"/>
        <w:kinsoku/>
        <w:wordWrap w:val="0"/>
        <w:overflowPunct w:val="0"/>
        <w:topLinePunct w:val="0"/>
        <w:autoSpaceDE/>
        <w:autoSpaceDN/>
        <w:bidi w:val="0"/>
        <w:snapToGrid/>
        <w:spacing w:line="560" w:lineRule="atLeast"/>
        <w:jc w:val="both"/>
        <w:rPr>
          <w:rFonts w:hint="eastAsia" w:ascii="仿宋_GB2312" w:hAnsi="仿宋_GB2312" w:eastAsia="仿宋_GB2312" w:cs="仿宋_GB2312"/>
          <w:color w:val="auto"/>
          <w:sz w:val="32"/>
          <w:szCs w:val="32"/>
        </w:rPr>
      </w:pPr>
    </w:p>
    <w:p w14:paraId="3B553C86">
      <w:pPr>
        <w:keepLines w:val="0"/>
        <w:pageBreakBefore w:val="0"/>
        <w:kinsoku/>
        <w:wordWrap w:val="0"/>
        <w:overflowPunct w:val="0"/>
        <w:topLinePunct w:val="0"/>
        <w:autoSpaceDE/>
        <w:autoSpaceDN/>
        <w:bidi w:val="0"/>
        <w:snapToGrid/>
        <w:spacing w:line="560" w:lineRule="atLeas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同志，在我单位担任</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职务，是我单位的法定代表人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负责人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，特此证明。</w:t>
      </w:r>
    </w:p>
    <w:p w14:paraId="6AFB9952">
      <w:pPr>
        <w:keepLines w:val="0"/>
        <w:pageBreakBefore w:val="0"/>
        <w:kinsoku/>
        <w:wordWrap w:val="0"/>
        <w:overflowPunct w:val="0"/>
        <w:topLinePunct w:val="0"/>
        <w:autoSpaceDE/>
        <w:autoSpaceDN/>
        <w:bidi w:val="0"/>
        <w:snapToGrid/>
        <w:spacing w:line="560" w:lineRule="atLeast"/>
        <w:jc w:val="both"/>
        <w:rPr>
          <w:rFonts w:hint="eastAsia" w:ascii="仿宋_GB2312" w:hAnsi="仿宋_GB2312" w:eastAsia="仿宋_GB2312" w:cs="仿宋_GB2312"/>
          <w:color w:val="auto"/>
          <w:sz w:val="32"/>
          <w:szCs w:val="32"/>
        </w:rPr>
      </w:pPr>
    </w:p>
    <w:p w14:paraId="50AB0904">
      <w:pPr>
        <w:keepLines w:val="0"/>
        <w:pageBreakBefore w:val="0"/>
        <w:kinsoku/>
        <w:wordWrap w:val="0"/>
        <w:overflowPunct w:val="0"/>
        <w:topLinePunct w:val="0"/>
        <w:autoSpaceDE/>
        <w:autoSpaceDN/>
        <w:bidi w:val="0"/>
        <w:snapToGrid/>
        <w:spacing w:line="560" w:lineRule="atLeast"/>
        <w:jc w:val="both"/>
        <w:rPr>
          <w:rFonts w:hint="eastAsia" w:ascii="仿宋_GB2312" w:hAnsi="仿宋_GB2312" w:eastAsia="仿宋_GB2312" w:cs="仿宋_GB2312"/>
          <w:color w:val="auto"/>
          <w:sz w:val="32"/>
          <w:szCs w:val="32"/>
        </w:rPr>
      </w:pPr>
    </w:p>
    <w:p w14:paraId="02F83CE8">
      <w:pPr>
        <w:keepLines w:val="0"/>
        <w:pageBreakBefore w:val="0"/>
        <w:kinsoku/>
        <w:wordWrap w:val="0"/>
        <w:overflowPunct w:val="0"/>
        <w:topLinePunct w:val="0"/>
        <w:autoSpaceDE/>
        <w:autoSpaceDN/>
        <w:bidi w:val="0"/>
        <w:snapToGrid/>
        <w:spacing w:line="560" w:lineRule="atLeast"/>
        <w:jc w:val="both"/>
        <w:rPr>
          <w:rFonts w:hint="eastAsia" w:ascii="仿宋_GB2312" w:hAnsi="仿宋_GB2312" w:eastAsia="仿宋_GB2312" w:cs="仿宋_GB2312"/>
          <w:color w:val="auto"/>
          <w:sz w:val="32"/>
          <w:szCs w:val="32"/>
        </w:rPr>
      </w:pPr>
    </w:p>
    <w:p w14:paraId="760B510F">
      <w:pPr>
        <w:keepLines w:val="0"/>
        <w:pageBreakBefore w:val="0"/>
        <w:kinsoku/>
        <w:wordWrap w:val="0"/>
        <w:overflowPunct w:val="0"/>
        <w:topLinePunct w:val="0"/>
        <w:autoSpaceDE/>
        <w:autoSpaceDN/>
        <w:bidi w:val="0"/>
        <w:snapToGrid/>
        <w:spacing w:line="560" w:lineRule="atLeast"/>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投标人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公</w:t>
      </w:r>
      <w:r>
        <w:rPr>
          <w:rFonts w:hint="eastAsia" w:ascii="仿宋_GB2312" w:hAnsi="仿宋_GB2312" w:eastAsia="仿宋_GB2312" w:cs="仿宋_GB2312"/>
          <w:color w:val="auto"/>
          <w:sz w:val="32"/>
          <w:szCs w:val="32"/>
        </w:rPr>
        <w:t>章）</w:t>
      </w:r>
      <w:r>
        <w:rPr>
          <w:rFonts w:hint="eastAsia" w:ascii="仿宋_GB2312" w:hAnsi="仿宋_GB2312" w:eastAsia="仿宋_GB2312" w:cs="仿宋_GB2312"/>
          <w:color w:val="auto"/>
          <w:sz w:val="32"/>
          <w:szCs w:val="32"/>
          <w:lang w:val="en-US" w:eastAsia="zh-CN"/>
        </w:rPr>
        <w:t xml:space="preserve">             </w:t>
      </w:r>
    </w:p>
    <w:p w14:paraId="6567FA0E">
      <w:pPr>
        <w:keepLines w:val="0"/>
        <w:pageBreakBefore w:val="0"/>
        <w:kinsoku/>
        <w:wordWrap w:val="0"/>
        <w:overflowPunct w:val="0"/>
        <w:topLinePunct w:val="0"/>
        <w:autoSpaceDE/>
        <w:autoSpaceDN/>
        <w:bidi w:val="0"/>
        <w:snapToGrid/>
        <w:spacing w:line="560" w:lineRule="atLeast"/>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年    月   日</w:t>
      </w:r>
    </w:p>
    <w:p w14:paraId="2DA4608D">
      <w:pPr>
        <w:keepLines w:val="0"/>
        <w:pageBreakBefore w:val="0"/>
        <w:kinsoku/>
        <w:wordWrap w:val="0"/>
        <w:overflowPunct w:val="0"/>
        <w:topLinePunct w:val="0"/>
        <w:autoSpaceDE/>
        <w:autoSpaceDN/>
        <w:bidi w:val="0"/>
        <w:snapToGrid/>
        <w:spacing w:line="560" w:lineRule="atLeast"/>
        <w:jc w:val="both"/>
        <w:rPr>
          <w:rFonts w:hint="eastAsia" w:ascii="仿宋_GB2312" w:hAnsi="仿宋_GB2312" w:eastAsia="仿宋_GB2312" w:cs="仿宋_GB2312"/>
          <w:color w:val="auto"/>
          <w:sz w:val="32"/>
          <w:szCs w:val="32"/>
        </w:rPr>
      </w:pPr>
    </w:p>
    <w:p w14:paraId="10233878">
      <w:pPr>
        <w:keepLines w:val="0"/>
        <w:pageBreakBefore w:val="0"/>
        <w:kinsoku/>
        <w:wordWrap w:val="0"/>
        <w:overflowPunct w:val="0"/>
        <w:topLinePunct w:val="0"/>
        <w:autoSpaceDE/>
        <w:autoSpaceDN/>
        <w:bidi w:val="0"/>
        <w:snapToGrid/>
        <w:spacing w:line="560" w:lineRule="atLeas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附：法定代表人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负责人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身份证复印件</w:t>
      </w:r>
    </w:p>
    <w:p w14:paraId="270250B3">
      <w:pPr>
        <w:keepLines w:val="0"/>
        <w:pageBreakBefore w:val="0"/>
        <w:kinsoku/>
        <w:wordWrap w:val="0"/>
        <w:overflowPunct w:val="0"/>
        <w:topLinePunct w:val="0"/>
        <w:autoSpaceDE/>
        <w:autoSpaceDN/>
        <w:bidi w:val="0"/>
        <w:snapToGrid/>
        <w:spacing w:line="560" w:lineRule="atLeas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联系地址</w:t>
      </w:r>
      <w:r>
        <w:rPr>
          <w:rFonts w:hint="eastAsia" w:ascii="仿宋_GB2312" w:hAnsi="仿宋_GB2312" w:eastAsia="仿宋_GB2312" w:cs="仿宋_GB2312"/>
          <w:color w:val="auto"/>
          <w:sz w:val="32"/>
          <w:szCs w:val="32"/>
        </w:rPr>
        <w:t>：</w:t>
      </w:r>
    </w:p>
    <w:p w14:paraId="48612F52">
      <w:pPr>
        <w:keepLines w:val="0"/>
        <w:pageBreakBefore w:val="0"/>
        <w:kinsoku/>
        <w:wordWrap w:val="0"/>
        <w:overflowPunct w:val="0"/>
        <w:topLinePunct w:val="0"/>
        <w:autoSpaceDE/>
        <w:autoSpaceDN/>
        <w:bidi w:val="0"/>
        <w:snapToGrid/>
        <w:spacing w:line="560" w:lineRule="atLeas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联系方式：</w:t>
      </w:r>
    </w:p>
    <w:p w14:paraId="187B8A86">
      <w:pPr>
        <w:keepLines w:val="0"/>
        <w:pageBreakBefore w:val="0"/>
        <w:kinsoku/>
        <w:wordWrap w:val="0"/>
        <w:overflowPunct w:val="0"/>
        <w:topLinePunct w:val="0"/>
        <w:autoSpaceDE/>
        <w:autoSpaceDN/>
        <w:bidi w:val="0"/>
        <w:snapToGrid/>
        <w:spacing w:line="560" w:lineRule="atLeast"/>
        <w:jc w:val="both"/>
        <w:rPr>
          <w:rFonts w:hint="eastAsia" w:ascii="仿宋_GB2312" w:hAnsi="仿宋_GB2312" w:eastAsia="仿宋_GB2312" w:cs="仿宋_GB2312"/>
          <w:color w:val="auto"/>
          <w:sz w:val="32"/>
          <w:szCs w:val="32"/>
        </w:rPr>
      </w:pPr>
    </w:p>
    <w:p w14:paraId="7FC360ED">
      <w:pPr>
        <w:keepLines w:val="0"/>
        <w:pageBreakBefore w:val="0"/>
        <w:kinsoku/>
        <w:wordWrap w:val="0"/>
        <w:overflowPunct w:val="0"/>
        <w:topLinePunct w:val="0"/>
        <w:autoSpaceDE/>
        <w:autoSpaceDN/>
        <w:bidi w:val="0"/>
        <w:snapToGrid/>
        <w:spacing w:line="560" w:lineRule="atLeas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负责人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身份证复印件</w:t>
      </w:r>
      <w:r>
        <w:rPr>
          <w:rFonts w:hint="eastAsia" w:ascii="仿宋_GB2312" w:hAnsi="仿宋_GB2312" w:eastAsia="仿宋_GB2312" w:cs="仿宋_GB2312"/>
          <w:color w:val="auto"/>
          <w:sz w:val="32"/>
          <w:szCs w:val="32"/>
          <w:lang w:val="en-US" w:eastAsia="zh-CN"/>
        </w:rPr>
        <w:t>须</w:t>
      </w:r>
      <w:r>
        <w:rPr>
          <w:rFonts w:hint="eastAsia" w:ascii="仿宋_GB2312" w:hAnsi="仿宋_GB2312" w:eastAsia="仿宋_GB2312" w:cs="仿宋_GB2312"/>
          <w:color w:val="auto"/>
          <w:sz w:val="32"/>
          <w:szCs w:val="32"/>
        </w:rPr>
        <w:t>加盖单位</w:t>
      </w:r>
      <w:r>
        <w:rPr>
          <w:rFonts w:hint="eastAsia" w:ascii="仿宋_GB2312" w:hAnsi="仿宋_GB2312" w:eastAsia="仿宋_GB2312" w:cs="仿宋_GB2312"/>
          <w:color w:val="auto"/>
          <w:sz w:val="32"/>
          <w:szCs w:val="32"/>
          <w:lang w:val="en-US" w:eastAsia="zh-CN"/>
        </w:rPr>
        <w:t>公</w:t>
      </w:r>
      <w:r>
        <w:rPr>
          <w:rFonts w:hint="eastAsia" w:ascii="仿宋_GB2312" w:hAnsi="仿宋_GB2312" w:eastAsia="仿宋_GB2312" w:cs="仿宋_GB2312"/>
          <w:color w:val="auto"/>
          <w:sz w:val="32"/>
          <w:szCs w:val="32"/>
        </w:rPr>
        <w:t>章。</w:t>
      </w:r>
    </w:p>
    <w:p w14:paraId="11548D06">
      <w:pPr>
        <w:keepLines w:val="0"/>
        <w:pageBreakBefore w:val="0"/>
        <w:kinsoku/>
        <w:wordWrap w:val="0"/>
        <w:overflowPunct w:val="0"/>
        <w:topLinePunct w:val="0"/>
        <w:autoSpaceDE/>
        <w:autoSpaceDN/>
        <w:bidi w:val="0"/>
        <w:snapToGrid/>
        <w:spacing w:line="560" w:lineRule="atLeas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负责人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亲自参与投标活动</w:t>
      </w:r>
      <w:r>
        <w:rPr>
          <w:rFonts w:hint="eastAsia" w:ascii="仿宋_GB2312" w:hAnsi="仿宋_GB2312" w:eastAsia="仿宋_GB2312" w:cs="仿宋_GB2312"/>
          <w:color w:val="auto"/>
          <w:sz w:val="32"/>
          <w:szCs w:val="32"/>
          <w:lang w:val="en-US" w:eastAsia="zh-CN"/>
        </w:rPr>
        <w:t>不</w:t>
      </w:r>
      <w:r>
        <w:rPr>
          <w:rFonts w:hint="eastAsia" w:ascii="仿宋_GB2312" w:hAnsi="仿宋_GB2312" w:eastAsia="仿宋_GB2312" w:cs="仿宋_GB2312"/>
          <w:color w:val="auto"/>
          <w:sz w:val="32"/>
          <w:szCs w:val="32"/>
        </w:rPr>
        <w:t>适用。</w:t>
      </w:r>
    </w:p>
    <w:p w14:paraId="114B5E55">
      <w:pPr>
        <w:keepLines w:val="0"/>
        <w:pageBreakBefore w:val="0"/>
        <w:kinsoku/>
        <w:wordWrap w:val="0"/>
        <w:overflowPunct w:val="0"/>
        <w:topLinePunct w:val="0"/>
        <w:autoSpaceDE/>
        <w:autoSpaceDN/>
        <w:bidi w:val="0"/>
        <w:snapToGrid/>
        <w:spacing w:line="560" w:lineRule="atLeas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br w:type="page"/>
      </w:r>
      <w:bookmarkStart w:id="28" w:name="_Toc81784932"/>
    </w:p>
    <w:p w14:paraId="1936AC32">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三、授权委托书</w:t>
      </w:r>
      <w:bookmarkEnd w:id="26"/>
      <w:bookmarkEnd w:id="28"/>
    </w:p>
    <w:p w14:paraId="3C7891DE">
      <w:pPr>
        <w:keepLines w:val="0"/>
        <w:pageBreakBefore w:val="0"/>
        <w:kinsoku/>
        <w:wordWrap w:val="0"/>
        <w:overflowPunct w:val="0"/>
        <w:topLinePunct w:val="0"/>
        <w:autoSpaceDE/>
        <w:autoSpaceDN/>
        <w:bidi w:val="0"/>
        <w:snapToGrid/>
        <w:spacing w:line="560" w:lineRule="atLeast"/>
        <w:ind w:firstLine="640" w:firstLineChars="200"/>
        <w:jc w:val="both"/>
        <w:rPr>
          <w:rFonts w:hint="eastAsia" w:ascii="仿宋_GB2312" w:hAnsi="仿宋_GB2312" w:eastAsia="仿宋_GB2312" w:cs="仿宋_GB2312"/>
          <w:b w:val="0"/>
          <w:bCs w:val="0"/>
          <w:color w:val="auto"/>
          <w:sz w:val="32"/>
          <w:szCs w:val="32"/>
          <w:lang w:val="en-US" w:eastAsia="zh-CN"/>
        </w:rPr>
      </w:pPr>
    </w:p>
    <w:p w14:paraId="5C4ADDB6">
      <w:pPr>
        <w:keepLines w:val="0"/>
        <w:pageBreakBefore w:val="0"/>
        <w:kinsoku/>
        <w:wordWrap w:val="0"/>
        <w:overflowPunct w:val="0"/>
        <w:topLinePunct w:val="0"/>
        <w:autoSpaceDE/>
        <w:autoSpaceDN/>
        <w:bidi w:val="0"/>
        <w:snapToGrid/>
        <w:spacing w:line="560" w:lineRule="atLeast"/>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委托人：           律师事务所</w:t>
      </w:r>
    </w:p>
    <w:p w14:paraId="0E9A1B90">
      <w:pPr>
        <w:keepLines w:val="0"/>
        <w:pageBreakBefore w:val="0"/>
        <w:kinsoku/>
        <w:wordWrap w:val="0"/>
        <w:overflowPunct w:val="0"/>
        <w:topLinePunct w:val="0"/>
        <w:autoSpaceDE/>
        <w:autoSpaceDN/>
        <w:bidi w:val="0"/>
        <w:snapToGrid/>
        <w:spacing w:line="560" w:lineRule="atLeast"/>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负责人</w:t>
      </w:r>
      <w:r>
        <w:rPr>
          <w:rFonts w:hint="eastAsia" w:ascii="仿宋_GB2312" w:hAnsi="仿宋_GB2312" w:eastAsia="仿宋_GB2312" w:cs="仿宋_GB2312"/>
          <w:color w:val="auto"/>
          <w:sz w:val="32"/>
          <w:szCs w:val="32"/>
          <w:lang w:eastAsia="zh-CN"/>
        </w:rPr>
        <w:t>）：</w:t>
      </w:r>
    </w:p>
    <w:p w14:paraId="25CA6168">
      <w:pPr>
        <w:keepLines w:val="0"/>
        <w:pageBreakBefore w:val="0"/>
        <w:kinsoku/>
        <w:wordWrap w:val="0"/>
        <w:overflowPunct w:val="0"/>
        <w:topLinePunct w:val="0"/>
        <w:autoSpaceDE/>
        <w:autoSpaceDN/>
        <w:bidi w:val="0"/>
        <w:snapToGrid/>
        <w:spacing w:line="560" w:lineRule="atLeast"/>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受托人：        ，男/女，   族，1991年01月11日出生，公民身份号码：            地址：              。</w:t>
      </w:r>
    </w:p>
    <w:p w14:paraId="6934EFB3">
      <w:pPr>
        <w:keepLines w:val="0"/>
        <w:pageBreakBefore w:val="0"/>
        <w:kinsoku/>
        <w:wordWrap w:val="0"/>
        <w:overflowPunct w:val="0"/>
        <w:topLinePunct w:val="0"/>
        <w:autoSpaceDE/>
        <w:autoSpaceDN/>
        <w:bidi w:val="0"/>
        <w:snapToGrid/>
        <w:spacing w:line="560" w:lineRule="atLeast"/>
        <w:ind w:firstLine="614" w:firstLineChars="19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现授权委托</w:t>
      </w:r>
      <w:r>
        <w:rPr>
          <w:rFonts w:hint="eastAsia" w:ascii="仿宋_GB2312" w:hAnsi="仿宋_GB2312" w:eastAsia="仿宋_GB2312" w:cs="仿宋_GB2312"/>
          <w:color w:val="auto"/>
          <w:sz w:val="32"/>
          <w:szCs w:val="32"/>
          <w:u w:val="single"/>
        </w:rPr>
        <w:t xml:space="preserve">      （受托人姓名）</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本单位</w:t>
      </w:r>
      <w:r>
        <w:rPr>
          <w:rFonts w:hint="eastAsia" w:ascii="仿宋_GB2312" w:hAnsi="仿宋_GB2312" w:eastAsia="仿宋_GB2312" w:cs="仿宋_GB2312"/>
          <w:color w:val="auto"/>
          <w:sz w:val="32"/>
          <w:szCs w:val="32"/>
        </w:rPr>
        <w:t>唯一代理人，以本</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的名义参加</w:t>
      </w:r>
      <w:r>
        <w:rPr>
          <w:rFonts w:hint="eastAsia" w:ascii="仿宋_GB2312" w:hAnsi="仿宋_GB2312" w:eastAsia="仿宋_GB2312" w:cs="仿宋_GB2312"/>
          <w:color w:val="auto"/>
          <w:sz w:val="32"/>
          <w:szCs w:val="32"/>
          <w:u w:val="single"/>
        </w:rPr>
        <w:t>海南联合资产管理有限公司公开比选常年法律顾问项目</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活动。</w:t>
      </w:r>
    </w:p>
    <w:p w14:paraId="3411F191">
      <w:pPr>
        <w:keepLines w:val="0"/>
        <w:pageBreakBefore w:val="0"/>
        <w:kinsoku/>
        <w:wordWrap w:val="0"/>
        <w:overflowPunct w:val="0"/>
        <w:topLinePunct w:val="0"/>
        <w:autoSpaceDE/>
        <w:autoSpaceDN/>
        <w:bidi w:val="0"/>
        <w:snapToGrid/>
        <w:spacing w:line="560" w:lineRule="atLeast"/>
        <w:ind w:firstLine="614" w:firstLineChars="192"/>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受托人</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活动中所签署的一切文件和处理与之有关的一切事务，</w:t>
      </w:r>
      <w:r>
        <w:rPr>
          <w:rFonts w:hint="eastAsia" w:ascii="仿宋_GB2312" w:hAnsi="仿宋_GB2312" w:eastAsia="仿宋_GB2312" w:cs="仿宋_GB2312"/>
          <w:b w:val="0"/>
          <w:bCs w:val="0"/>
          <w:color w:val="auto"/>
          <w:sz w:val="32"/>
          <w:szCs w:val="32"/>
          <w:lang w:val="en-US" w:eastAsia="zh-CN"/>
        </w:rPr>
        <w:t>委托人</w:t>
      </w:r>
      <w:r>
        <w:rPr>
          <w:rFonts w:hint="eastAsia" w:ascii="仿宋_GB2312" w:hAnsi="仿宋_GB2312" w:eastAsia="仿宋_GB2312" w:cs="仿宋_GB2312"/>
          <w:color w:val="auto"/>
          <w:sz w:val="32"/>
          <w:szCs w:val="32"/>
        </w:rPr>
        <w:t>均予以承认并全部承担其产生的所有权利和义务。</w:t>
      </w:r>
    </w:p>
    <w:p w14:paraId="3D8B6225">
      <w:pPr>
        <w:keepLines w:val="0"/>
        <w:pageBreakBefore w:val="0"/>
        <w:kinsoku/>
        <w:wordWrap w:val="0"/>
        <w:overflowPunct w:val="0"/>
        <w:topLinePunct w:val="0"/>
        <w:autoSpaceDE/>
        <w:autoSpaceDN/>
        <w:bidi w:val="0"/>
        <w:snapToGrid/>
        <w:spacing w:line="560" w:lineRule="atLeast"/>
        <w:ind w:firstLine="614" w:firstLineChars="19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委托期限：自本委托书签发之日起至上述事项办完为止。</w:t>
      </w:r>
    </w:p>
    <w:p w14:paraId="2B497A2B">
      <w:pPr>
        <w:keepLines w:val="0"/>
        <w:pageBreakBefore w:val="0"/>
        <w:kinsoku/>
        <w:wordWrap w:val="0"/>
        <w:overflowPunct w:val="0"/>
        <w:topLinePunct w:val="0"/>
        <w:autoSpaceDE/>
        <w:autoSpaceDN/>
        <w:bidi w:val="0"/>
        <w:snapToGrid/>
        <w:spacing w:line="560" w:lineRule="atLeast"/>
        <w:ind w:firstLine="614" w:firstLineChars="19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受托人</w:t>
      </w:r>
      <w:r>
        <w:rPr>
          <w:rFonts w:hint="eastAsia" w:ascii="仿宋_GB2312" w:hAnsi="仿宋_GB2312" w:eastAsia="仿宋_GB2312" w:cs="仿宋_GB2312"/>
          <w:color w:val="auto"/>
          <w:sz w:val="32"/>
          <w:szCs w:val="32"/>
        </w:rPr>
        <w:t>无权转委托权。</w:t>
      </w:r>
    </w:p>
    <w:p w14:paraId="42604F3E">
      <w:pPr>
        <w:keepLines w:val="0"/>
        <w:pageBreakBefore w:val="0"/>
        <w:kinsoku/>
        <w:wordWrap w:val="0"/>
        <w:overflowPunct w:val="0"/>
        <w:topLinePunct w:val="0"/>
        <w:autoSpaceDE/>
        <w:autoSpaceDN/>
        <w:bidi w:val="0"/>
        <w:snapToGrid/>
        <w:spacing w:line="560" w:lineRule="atLeas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特此委托</w:t>
      </w:r>
      <w:r>
        <w:rPr>
          <w:rFonts w:hint="eastAsia" w:ascii="仿宋_GB2312" w:hAnsi="仿宋_GB2312" w:eastAsia="仿宋_GB2312" w:cs="仿宋_GB2312"/>
          <w:color w:val="auto"/>
          <w:sz w:val="32"/>
          <w:szCs w:val="32"/>
          <w:lang w:eastAsia="zh-CN"/>
        </w:rPr>
        <w:t>。</w:t>
      </w:r>
    </w:p>
    <w:p w14:paraId="7C4B817E">
      <w:pPr>
        <w:pStyle w:val="8"/>
        <w:keepLines w:val="0"/>
        <w:pageBreakBefore w:val="0"/>
        <w:kinsoku/>
        <w:wordWrap w:val="0"/>
        <w:overflowPunct w:val="0"/>
        <w:topLinePunct w:val="0"/>
        <w:autoSpaceDE/>
        <w:autoSpaceDN/>
        <w:bidi w:val="0"/>
        <w:snapToGrid/>
        <w:spacing w:line="560" w:lineRule="atLeast"/>
        <w:ind w:firstLine="3840" w:firstLineChars="1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委托人：</w:t>
      </w:r>
      <w:r>
        <w:rPr>
          <w:rFonts w:hint="eastAsia" w:ascii="仿宋_GB2312" w:hAnsi="仿宋_GB2312" w:eastAsia="仿宋_GB2312" w:cs="仿宋_GB2312"/>
          <w:color w:val="auto"/>
          <w:sz w:val="32"/>
          <w:szCs w:val="32"/>
        </w:rPr>
        <w:t>（盖章）</w:t>
      </w:r>
      <w:r>
        <w:rPr>
          <w:rFonts w:hint="eastAsia" w:ascii="仿宋_GB2312" w:hAnsi="仿宋_GB2312" w:eastAsia="仿宋_GB2312" w:cs="仿宋_GB2312"/>
          <w:color w:val="auto"/>
          <w:sz w:val="32"/>
          <w:szCs w:val="32"/>
          <w:lang w:val="en-US" w:eastAsia="zh-CN"/>
        </w:rPr>
        <w:t xml:space="preserve">            </w:t>
      </w:r>
    </w:p>
    <w:p w14:paraId="4299DA68">
      <w:pPr>
        <w:keepLines w:val="0"/>
        <w:pageBreakBefore w:val="0"/>
        <w:kinsoku/>
        <w:wordWrap w:val="0"/>
        <w:overflowPunct w:val="0"/>
        <w:topLinePunct w:val="0"/>
        <w:autoSpaceDE/>
        <w:autoSpaceDN/>
        <w:bidi w:val="0"/>
        <w:snapToGrid/>
        <w:spacing w:line="560" w:lineRule="atLeast"/>
        <w:ind w:firstLine="3520" w:firstLineChars="11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委托日期：                    </w:t>
      </w:r>
    </w:p>
    <w:p w14:paraId="5A4F456C">
      <w:pPr>
        <w:keepLines w:val="0"/>
        <w:pageBreakBefore w:val="0"/>
        <w:kinsoku/>
        <w:wordWrap w:val="0"/>
        <w:overflowPunct w:val="0"/>
        <w:topLinePunct w:val="0"/>
        <w:autoSpaceDE/>
        <w:autoSpaceDN/>
        <w:bidi w:val="0"/>
        <w:snapToGrid/>
        <w:spacing w:line="560" w:lineRule="atLeas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eastAsia="仿宋_GB2312" w:cs="仿宋_GB2312"/>
          <w:b w:val="0"/>
          <w:bCs/>
          <w:color w:val="auto"/>
          <w:kern w:val="2"/>
          <w:sz w:val="32"/>
          <w:szCs w:val="32"/>
          <w:lang w:val="en-US" w:eastAsia="zh-CN"/>
        </w:rPr>
        <w:t>受托人</w:t>
      </w:r>
      <w:r>
        <w:rPr>
          <w:rFonts w:hint="eastAsia" w:ascii="仿宋_GB2312" w:hAnsi="仿宋_GB2312" w:eastAsia="仿宋_GB2312" w:cs="仿宋_GB2312"/>
          <w:color w:val="auto"/>
          <w:sz w:val="32"/>
          <w:szCs w:val="32"/>
        </w:rPr>
        <w:t>身份证复印件</w:t>
      </w:r>
    </w:p>
    <w:p w14:paraId="29D6C550">
      <w:pPr>
        <w:keepLines w:val="0"/>
        <w:pageBreakBefore w:val="0"/>
        <w:kinsoku/>
        <w:wordWrap w:val="0"/>
        <w:overflowPunct w:val="0"/>
        <w:topLinePunct w:val="0"/>
        <w:autoSpaceDE/>
        <w:autoSpaceDN/>
        <w:bidi w:val="0"/>
        <w:snapToGrid/>
        <w:spacing w:line="560" w:lineRule="atLeas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联系地址</w:t>
      </w:r>
      <w:r>
        <w:rPr>
          <w:rFonts w:hint="eastAsia" w:ascii="仿宋_GB2312" w:hAnsi="仿宋_GB2312" w:eastAsia="仿宋_GB2312" w:cs="仿宋_GB2312"/>
          <w:color w:val="auto"/>
          <w:sz w:val="32"/>
          <w:szCs w:val="32"/>
        </w:rPr>
        <w:t>：</w:t>
      </w:r>
    </w:p>
    <w:p w14:paraId="08FC580B">
      <w:pPr>
        <w:keepLines w:val="0"/>
        <w:pageBreakBefore w:val="0"/>
        <w:kinsoku/>
        <w:wordWrap w:val="0"/>
        <w:overflowPunct w:val="0"/>
        <w:topLinePunct w:val="0"/>
        <w:autoSpaceDE/>
        <w:autoSpaceDN/>
        <w:bidi w:val="0"/>
        <w:snapToGrid/>
        <w:spacing w:line="560" w:lineRule="atLeast"/>
        <w:ind w:firstLine="640" w:firstLineChars="200"/>
        <w:jc w:val="both"/>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color w:val="auto"/>
          <w:sz w:val="32"/>
          <w:szCs w:val="32"/>
        </w:rPr>
        <w:t>联系方式：</w:t>
      </w:r>
    </w:p>
    <w:p w14:paraId="3793BE45">
      <w:pPr>
        <w:pStyle w:val="58"/>
        <w:keepLines w:val="0"/>
        <w:pageBreakBefore w:val="0"/>
        <w:widowControl w:val="0"/>
        <w:kinsoku/>
        <w:wordWrap w:val="0"/>
        <w:overflowPunct w:val="0"/>
        <w:topLinePunct w:val="0"/>
        <w:autoSpaceDE/>
        <w:autoSpaceDN/>
        <w:bidi w:val="0"/>
        <w:snapToGrid/>
        <w:spacing w:line="560" w:lineRule="atLeas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kern w:val="2"/>
          <w:sz w:val="32"/>
          <w:szCs w:val="32"/>
        </w:rPr>
        <w:t>注：</w:t>
      </w:r>
      <w:r>
        <w:rPr>
          <w:rFonts w:hint="eastAsia" w:ascii="仿宋_GB2312" w:hAnsi="仿宋_GB2312" w:eastAsia="仿宋_GB2312" w:cs="仿宋_GB2312"/>
          <w:b w:val="0"/>
          <w:bCs/>
          <w:color w:val="auto"/>
          <w:kern w:val="2"/>
          <w:sz w:val="32"/>
          <w:szCs w:val="32"/>
          <w:lang w:val="en-US" w:eastAsia="zh-CN"/>
        </w:rPr>
        <w:t>1.受托人</w:t>
      </w:r>
      <w:r>
        <w:rPr>
          <w:rFonts w:hint="eastAsia" w:ascii="仿宋_GB2312" w:hAnsi="仿宋_GB2312" w:eastAsia="仿宋_GB2312" w:cs="仿宋_GB2312"/>
          <w:b w:val="0"/>
          <w:bCs/>
          <w:color w:val="auto"/>
          <w:kern w:val="2"/>
          <w:sz w:val="32"/>
          <w:szCs w:val="32"/>
        </w:rPr>
        <w:t>身份证复印件须加盖单位公章。</w:t>
      </w:r>
    </w:p>
    <w:p w14:paraId="2B0B22C9">
      <w:pPr>
        <w:pStyle w:val="58"/>
        <w:keepLines w:val="0"/>
        <w:pageBreakBefore w:val="0"/>
        <w:widowControl w:val="0"/>
        <w:kinsoku/>
        <w:wordWrap w:val="0"/>
        <w:overflowPunct w:val="0"/>
        <w:topLinePunct w:val="0"/>
        <w:autoSpaceDE/>
        <w:autoSpaceDN/>
        <w:bidi w:val="0"/>
        <w:snapToGrid/>
        <w:spacing w:line="560" w:lineRule="atLeast"/>
        <w:ind w:firstLine="640" w:firstLineChars="200"/>
        <w:jc w:val="both"/>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lang w:val="en-US" w:eastAsia="zh-CN"/>
        </w:rPr>
        <w:t>2.</w:t>
      </w:r>
      <w:r>
        <w:rPr>
          <w:rFonts w:hint="eastAsia" w:ascii="仿宋_GB2312" w:hAnsi="仿宋_GB2312" w:eastAsia="仿宋_GB2312" w:cs="仿宋_GB2312"/>
          <w:b w:val="0"/>
          <w:bCs/>
          <w:color w:val="auto"/>
          <w:kern w:val="2"/>
          <w:sz w:val="32"/>
          <w:szCs w:val="32"/>
        </w:rPr>
        <w:t>法定代表人（负责人）亲自</w:t>
      </w:r>
      <w:r>
        <w:rPr>
          <w:rFonts w:hint="eastAsia" w:ascii="仿宋_GB2312" w:hAnsi="仿宋_GB2312" w:eastAsia="仿宋_GB2312" w:cs="仿宋_GB2312"/>
          <w:b w:val="0"/>
          <w:bCs/>
          <w:color w:val="auto"/>
          <w:kern w:val="2"/>
          <w:sz w:val="32"/>
          <w:szCs w:val="32"/>
          <w:lang w:val="en-US" w:eastAsia="zh-CN"/>
        </w:rPr>
        <w:t>参与</w:t>
      </w:r>
      <w:r>
        <w:rPr>
          <w:rFonts w:hint="eastAsia" w:ascii="仿宋_GB2312" w:hAnsi="仿宋_GB2312" w:eastAsia="仿宋_GB2312" w:cs="仿宋_GB2312"/>
          <w:b w:val="0"/>
          <w:bCs/>
          <w:color w:val="auto"/>
          <w:kern w:val="2"/>
          <w:sz w:val="32"/>
          <w:szCs w:val="32"/>
        </w:rPr>
        <w:t>投标</w:t>
      </w:r>
      <w:r>
        <w:rPr>
          <w:rFonts w:hint="eastAsia" w:ascii="仿宋_GB2312" w:hAnsi="仿宋_GB2312" w:eastAsia="仿宋_GB2312" w:cs="仿宋_GB2312"/>
          <w:b w:val="0"/>
          <w:bCs/>
          <w:color w:val="auto"/>
          <w:kern w:val="2"/>
          <w:sz w:val="32"/>
          <w:szCs w:val="32"/>
          <w:lang w:val="en-US" w:eastAsia="zh-CN"/>
        </w:rPr>
        <w:t>活动不</w:t>
      </w:r>
      <w:r>
        <w:rPr>
          <w:rFonts w:hint="eastAsia" w:ascii="仿宋_GB2312" w:hAnsi="仿宋_GB2312" w:eastAsia="仿宋_GB2312" w:cs="仿宋_GB2312"/>
          <w:b w:val="0"/>
          <w:bCs/>
          <w:color w:val="auto"/>
          <w:kern w:val="2"/>
          <w:sz w:val="32"/>
          <w:szCs w:val="32"/>
        </w:rPr>
        <w:t>适用。</w:t>
      </w:r>
    </w:p>
    <w:p w14:paraId="3560C0FE">
      <w:pPr>
        <w:keepLines w:val="0"/>
        <w:pageBreakBefore w:val="0"/>
        <w:kinsoku/>
        <w:wordWrap w:val="0"/>
        <w:overflowPunct w:val="0"/>
        <w:topLinePunct w:val="0"/>
        <w:autoSpaceDE/>
        <w:autoSpaceDN/>
        <w:bidi w:val="0"/>
        <w:snapToGrid/>
        <w:spacing w:line="560" w:lineRule="atLeas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Cs/>
          <w:color w:val="auto"/>
          <w:kern w:val="2"/>
          <w:sz w:val="32"/>
          <w:szCs w:val="32"/>
        </w:rPr>
        <w:br w:type="page"/>
      </w:r>
      <w:bookmarkStart w:id="29" w:name="_Toc17243"/>
    </w:p>
    <w:p w14:paraId="001769AA">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bookmarkStart w:id="30" w:name="_Toc81784941"/>
      <w:r>
        <w:rPr>
          <w:rFonts w:hint="eastAsia" w:ascii="仿宋_GB2312" w:hAnsi="仿宋_GB2312" w:eastAsia="仿宋_GB2312" w:cs="仿宋_GB2312"/>
          <w:b/>
          <w:bCs/>
          <w:color w:val="auto"/>
          <w:kern w:val="2"/>
          <w:sz w:val="32"/>
          <w:szCs w:val="32"/>
          <w:lang w:val="en-US" w:eastAsia="zh-CN" w:bidi="ar-SA"/>
        </w:rPr>
        <w:t>四、关于参选文件真实性声明函</w:t>
      </w:r>
      <w:bookmarkEnd w:id="30"/>
    </w:p>
    <w:p w14:paraId="73D1CD34">
      <w:pPr>
        <w:keepLines w:val="0"/>
        <w:pageBreakBefore w:val="0"/>
        <w:kinsoku/>
        <w:wordWrap w:val="0"/>
        <w:overflowPunct w:val="0"/>
        <w:topLinePunct w:val="0"/>
        <w:autoSpaceDE/>
        <w:autoSpaceDN/>
        <w:bidi w:val="0"/>
        <w:snapToGrid/>
        <w:spacing w:line="560" w:lineRule="atLeast"/>
        <w:rPr>
          <w:rFonts w:hint="eastAsia" w:ascii="仿宋_GB2312" w:hAnsi="仿宋_GB2312" w:eastAsia="仿宋_GB2312" w:cs="仿宋_GB2312"/>
          <w:color w:val="auto"/>
          <w:sz w:val="32"/>
          <w:szCs w:val="32"/>
        </w:rPr>
      </w:pPr>
    </w:p>
    <w:p w14:paraId="1F243431">
      <w:pPr>
        <w:keepLines w:val="0"/>
        <w:pageBreakBefore w:val="0"/>
        <w:kinsoku/>
        <w:wordWrap w:val="0"/>
        <w:overflowPunct w:val="0"/>
        <w:topLinePunct w:val="0"/>
        <w:autoSpaceDE/>
        <w:autoSpaceDN/>
        <w:bidi w:val="0"/>
        <w:adjustRightInd w:val="0"/>
        <w:snapToGrid/>
        <w:spacing w:line="560" w:lineRule="atLeast"/>
        <w:ind w:firstLine="640" w:firstLineChars="200"/>
        <w:jc w:val="left"/>
        <w:textAlignment w:val="baseline"/>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本</w:t>
      </w:r>
      <w:r>
        <w:rPr>
          <w:rFonts w:hint="eastAsia" w:ascii="仿宋_GB2312" w:hAnsi="仿宋_GB2312" w:eastAsia="仿宋_GB2312" w:cs="仿宋_GB2312"/>
          <w:bCs/>
          <w:color w:val="auto"/>
          <w:sz w:val="32"/>
          <w:szCs w:val="32"/>
          <w:lang w:val="en-US" w:eastAsia="zh-CN"/>
        </w:rPr>
        <w:t>单位参与本次参选活动</w:t>
      </w:r>
      <w:r>
        <w:rPr>
          <w:rFonts w:hint="eastAsia" w:ascii="仿宋_GB2312" w:hAnsi="仿宋_GB2312" w:eastAsia="仿宋_GB2312" w:cs="仿宋_GB2312"/>
          <w:bCs/>
          <w:color w:val="auto"/>
          <w:sz w:val="32"/>
          <w:szCs w:val="32"/>
        </w:rPr>
        <w:t>所提交的</w:t>
      </w:r>
      <w:r>
        <w:rPr>
          <w:rFonts w:hint="eastAsia" w:ascii="仿宋_GB2312" w:hAnsi="仿宋_GB2312" w:eastAsia="仿宋_GB2312" w:cs="仿宋_GB2312"/>
          <w:bCs/>
          <w:color w:val="auto"/>
          <w:sz w:val="32"/>
          <w:szCs w:val="32"/>
          <w:lang w:val="en-US" w:eastAsia="zh-CN"/>
        </w:rPr>
        <w:t>参选</w:t>
      </w:r>
      <w:r>
        <w:rPr>
          <w:rFonts w:hint="eastAsia" w:ascii="仿宋_GB2312" w:hAnsi="仿宋_GB2312" w:eastAsia="仿宋_GB2312" w:cs="仿宋_GB2312"/>
          <w:bCs/>
          <w:color w:val="auto"/>
          <w:sz w:val="32"/>
          <w:szCs w:val="32"/>
        </w:rPr>
        <w:t>文件中所有</w:t>
      </w:r>
      <w:r>
        <w:rPr>
          <w:rFonts w:hint="eastAsia" w:ascii="仿宋_GB2312" w:hAnsi="仿宋_GB2312" w:eastAsia="仿宋_GB2312" w:cs="仿宋_GB2312"/>
          <w:bCs/>
          <w:color w:val="auto"/>
          <w:sz w:val="32"/>
          <w:szCs w:val="32"/>
          <w:lang w:val="en-US" w:eastAsia="zh-CN"/>
        </w:rPr>
        <w:t>证明文件</w:t>
      </w:r>
      <w:r>
        <w:rPr>
          <w:rFonts w:hint="eastAsia" w:ascii="仿宋_GB2312" w:hAnsi="仿宋_GB2312" w:eastAsia="仿宋_GB2312" w:cs="仿宋_GB2312"/>
          <w:bCs/>
          <w:color w:val="auto"/>
          <w:sz w:val="32"/>
          <w:szCs w:val="32"/>
        </w:rPr>
        <w:t>和陈述均是真实、</w:t>
      </w:r>
      <w:r>
        <w:rPr>
          <w:rFonts w:hint="eastAsia" w:ascii="仿宋_GB2312" w:hAnsi="仿宋_GB2312" w:eastAsia="仿宋_GB2312" w:cs="仿宋_GB2312"/>
          <w:bCs/>
          <w:color w:val="auto"/>
          <w:sz w:val="32"/>
          <w:szCs w:val="32"/>
          <w:lang w:val="en-US" w:eastAsia="zh-CN"/>
        </w:rPr>
        <w:t>完整、</w:t>
      </w:r>
      <w:r>
        <w:rPr>
          <w:rFonts w:hint="eastAsia" w:ascii="仿宋_GB2312" w:hAnsi="仿宋_GB2312" w:eastAsia="仿宋_GB2312" w:cs="仿宋_GB2312"/>
          <w:bCs/>
          <w:color w:val="auto"/>
          <w:sz w:val="32"/>
          <w:szCs w:val="32"/>
        </w:rPr>
        <w:t>准确的。若与真实情况不符，本单位愿意承担由此而产生的一切</w:t>
      </w:r>
      <w:r>
        <w:rPr>
          <w:rFonts w:hint="eastAsia" w:ascii="仿宋_GB2312" w:hAnsi="仿宋_GB2312" w:eastAsia="仿宋_GB2312" w:cs="仿宋_GB2312"/>
          <w:bCs/>
          <w:color w:val="auto"/>
          <w:sz w:val="32"/>
          <w:szCs w:val="32"/>
          <w:lang w:val="en-US" w:eastAsia="zh-CN"/>
        </w:rPr>
        <w:t>不利</w:t>
      </w:r>
      <w:r>
        <w:rPr>
          <w:rFonts w:hint="eastAsia" w:ascii="仿宋_GB2312" w:hAnsi="仿宋_GB2312" w:eastAsia="仿宋_GB2312" w:cs="仿宋_GB2312"/>
          <w:bCs/>
          <w:color w:val="auto"/>
          <w:sz w:val="32"/>
          <w:szCs w:val="32"/>
        </w:rPr>
        <w:t>后果。</w:t>
      </w:r>
    </w:p>
    <w:bookmarkEnd w:id="29"/>
    <w:p w14:paraId="450A1610">
      <w:pPr>
        <w:keepLines w:val="0"/>
        <w:pageBreakBefore w:val="0"/>
        <w:widowControl w:val="0"/>
        <w:numPr>
          <w:ilvl w:val="0"/>
          <w:numId w:val="0"/>
        </w:numPr>
        <w:kinsoku/>
        <w:wordWrap w:val="0"/>
        <w:overflowPunct w:val="0"/>
        <w:topLinePunct w:val="0"/>
        <w:autoSpaceDE/>
        <w:autoSpaceDN/>
        <w:bidi w:val="0"/>
        <w:snapToGrid/>
        <w:spacing w:line="560" w:lineRule="atLeast"/>
        <w:jc w:val="both"/>
        <w:rPr>
          <w:rFonts w:hint="eastAsia" w:ascii="仿宋_GB2312" w:hAnsi="仿宋_GB2312" w:eastAsia="仿宋_GB2312" w:cs="仿宋_GB2312"/>
          <w:b/>
          <w:bCs/>
          <w:color w:val="auto"/>
          <w:kern w:val="2"/>
          <w:sz w:val="32"/>
          <w:szCs w:val="32"/>
          <w:lang w:val="en-US" w:eastAsia="zh-CN" w:bidi="ar-SA"/>
        </w:rPr>
      </w:pPr>
    </w:p>
    <w:p w14:paraId="5C4222A2">
      <w:pPr>
        <w:keepLines w:val="0"/>
        <w:pageBreakBefore w:val="0"/>
        <w:widowControl w:val="0"/>
        <w:numPr>
          <w:ilvl w:val="0"/>
          <w:numId w:val="0"/>
        </w:numPr>
        <w:kinsoku/>
        <w:wordWrap w:val="0"/>
        <w:overflowPunct w:val="0"/>
        <w:topLinePunct w:val="0"/>
        <w:autoSpaceDE/>
        <w:autoSpaceDN/>
        <w:bidi w:val="0"/>
        <w:snapToGrid/>
        <w:spacing w:line="560" w:lineRule="atLeast"/>
        <w:jc w:val="both"/>
        <w:rPr>
          <w:rFonts w:hint="eastAsia" w:ascii="仿宋_GB2312" w:hAnsi="仿宋_GB2312" w:eastAsia="仿宋_GB2312" w:cs="仿宋_GB2312"/>
          <w:b/>
          <w:bCs/>
          <w:color w:val="auto"/>
          <w:kern w:val="2"/>
          <w:sz w:val="32"/>
          <w:szCs w:val="32"/>
          <w:lang w:val="en-US" w:eastAsia="zh-CN" w:bidi="ar-SA"/>
        </w:rPr>
      </w:pPr>
    </w:p>
    <w:p w14:paraId="1D37296F">
      <w:pPr>
        <w:keepLines w:val="0"/>
        <w:pageBreakBefore w:val="0"/>
        <w:kinsoku/>
        <w:wordWrap w:val="0"/>
        <w:overflowPunct w:val="0"/>
        <w:topLinePunct w:val="0"/>
        <w:autoSpaceDE/>
        <w:autoSpaceDN/>
        <w:bidi w:val="0"/>
        <w:snapToGrid/>
        <w:spacing w:line="560" w:lineRule="atLeast"/>
        <w:ind w:firstLine="4480" w:firstLineChars="1400"/>
        <w:jc w:val="left"/>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 选 人：（公章）</w:t>
      </w:r>
    </w:p>
    <w:p w14:paraId="47A74FEC">
      <w:pPr>
        <w:keepLines w:val="0"/>
        <w:pageBreakBefore w:val="0"/>
        <w:kinsoku/>
        <w:wordWrap w:val="0"/>
        <w:overflowPunct w:val="0"/>
        <w:topLinePunct w:val="0"/>
        <w:autoSpaceDE/>
        <w:autoSpaceDN/>
        <w:bidi w:val="0"/>
        <w:snapToGrid/>
        <w:spacing w:line="560" w:lineRule="atLeast"/>
        <w:ind w:firstLine="4480" w:firstLineChars="1400"/>
        <w:jc w:val="left"/>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声明日期：</w:t>
      </w:r>
    </w:p>
    <w:p w14:paraId="695DEB4E">
      <w:pPr>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br w:type="page"/>
      </w:r>
    </w:p>
    <w:p w14:paraId="4C2EA707">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五、其他材料（另附）</w:t>
      </w:r>
    </w:p>
    <w:p w14:paraId="25FE9349">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（按照比选文件规定和要求自行准备相关资格审查、综合评审文件材料，制作相应的检索目录）</w:t>
      </w:r>
    </w:p>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5D785">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FCC47">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A193F">
                          <w:pPr>
                            <w:pStyle w:val="1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3DA193F">
                    <w:pPr>
                      <w:pStyle w:val="1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A78C5">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EC595">
                          <w:pPr>
                            <w:pStyle w:val="1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51EC595">
                    <w:pPr>
                      <w:pStyle w:val="1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C5D32">
    <w:pPr>
      <w:pStyle w:val="20"/>
      <w:widowControl w:val="0"/>
      <w:pBdr>
        <w:top w:val="none" w:color="auto" w:sz="0" w:space="1"/>
        <w:left w:val="none" w:color="auto" w:sz="0" w:space="4"/>
        <w:bottom w:val="none" w:color="auto" w:sz="0" w:space="1"/>
        <w:right w:val="none" w:color="auto" w:sz="0" w:space="4"/>
        <w:between w:val="none" w:color="auto" w:sz="0" w:space="0"/>
      </w:pBdr>
      <w:snapToGrid w:val="0"/>
      <w:jc w:val="both"/>
      <w:rPr>
        <w:u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10AC3">
    <w:pP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A62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A97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DB099"/>
    <w:multiLevelType w:val="singleLevel"/>
    <w:tmpl w:val="A72DB099"/>
    <w:lvl w:ilvl="0" w:tentative="0">
      <w:start w:val="3"/>
      <w:numFmt w:val="decimal"/>
      <w:suff w:val="space"/>
      <w:lvlText w:val="%1."/>
      <w:lvlJc w:val="left"/>
    </w:lvl>
  </w:abstractNum>
  <w:abstractNum w:abstractNumId="1">
    <w:nsid w:val="B37AFAA4"/>
    <w:multiLevelType w:val="singleLevel"/>
    <w:tmpl w:val="B37AFAA4"/>
    <w:lvl w:ilvl="0" w:tentative="0">
      <w:start w:val="2"/>
      <w:numFmt w:val="decimal"/>
      <w:suff w:val="space"/>
      <w:lvlText w:val="%1."/>
      <w:lvlJc w:val="left"/>
    </w:lvl>
  </w:abstractNum>
  <w:abstractNum w:abstractNumId="2">
    <w:nsid w:val="6BBC78DC"/>
    <w:multiLevelType w:val="singleLevel"/>
    <w:tmpl w:val="6BBC78DC"/>
    <w:lvl w:ilvl="0" w:tentative="0">
      <w:start w:val="1"/>
      <w:numFmt w:val="decimal"/>
      <w:suff w:val="nothing"/>
      <w:lvlText w:val="%1."/>
      <w:lvlJc w:val="left"/>
      <w:pPr>
        <w:ind w:left="425" w:hanging="425"/>
      </w:pPr>
      <w:rPr>
        <w:rFonts w:hint="default"/>
        <w:sz w:val="32"/>
        <w:szCs w:val="32"/>
      </w:rPr>
    </w:lvl>
  </w:abstractNum>
  <w:abstractNum w:abstractNumId="3">
    <w:nsid w:val="72A55C80"/>
    <w:multiLevelType w:val="singleLevel"/>
    <w:tmpl w:val="72A55C80"/>
    <w:lvl w:ilvl="0" w:tentative="0">
      <w:start w:val="1"/>
      <w:numFmt w:val="decimal"/>
      <w:suff w:val="nothing"/>
      <w:lvlText w:val="%1."/>
      <w:lvlJc w:val="left"/>
      <w:pPr>
        <w:ind w:left="425" w:hanging="425"/>
      </w:pPr>
      <w:rPr>
        <w:rFonts w:hint="default"/>
        <w:sz w:val="32"/>
        <w:szCs w:val="32"/>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MmE0M2I5NDEyNjVlOTgyODAwNTkyOGFiNmU3MjAifQ=="/>
    <w:docVar w:name="KSO_WPS_MARK_KEY" w:val="a9f9d857-5cd4-4cb4-bcf5-f56efcb3fcac"/>
  </w:docVars>
  <w:rsids>
    <w:rsidRoot w:val="00172A27"/>
    <w:rsid w:val="00000874"/>
    <w:rsid w:val="000049D3"/>
    <w:rsid w:val="00016FC9"/>
    <w:rsid w:val="00037F53"/>
    <w:rsid w:val="0004364F"/>
    <w:rsid w:val="00046784"/>
    <w:rsid w:val="00047A23"/>
    <w:rsid w:val="0005193B"/>
    <w:rsid w:val="000605CA"/>
    <w:rsid w:val="00063C2F"/>
    <w:rsid w:val="00077BDC"/>
    <w:rsid w:val="000800BC"/>
    <w:rsid w:val="00084FB3"/>
    <w:rsid w:val="000853A6"/>
    <w:rsid w:val="00087470"/>
    <w:rsid w:val="00092B5F"/>
    <w:rsid w:val="000950B5"/>
    <w:rsid w:val="000A4264"/>
    <w:rsid w:val="000A6638"/>
    <w:rsid w:val="000B6854"/>
    <w:rsid w:val="000C1171"/>
    <w:rsid w:val="000C3315"/>
    <w:rsid w:val="000C6D61"/>
    <w:rsid w:val="000E372D"/>
    <w:rsid w:val="00102B6E"/>
    <w:rsid w:val="00127246"/>
    <w:rsid w:val="00132254"/>
    <w:rsid w:val="00144BA5"/>
    <w:rsid w:val="00146CB9"/>
    <w:rsid w:val="00165A8C"/>
    <w:rsid w:val="00172A27"/>
    <w:rsid w:val="001744CA"/>
    <w:rsid w:val="001A3555"/>
    <w:rsid w:val="001A4F54"/>
    <w:rsid w:val="001B28FB"/>
    <w:rsid w:val="001C0282"/>
    <w:rsid w:val="00206DC1"/>
    <w:rsid w:val="00222946"/>
    <w:rsid w:val="00237B11"/>
    <w:rsid w:val="00256391"/>
    <w:rsid w:val="002A1E4E"/>
    <w:rsid w:val="002A5851"/>
    <w:rsid w:val="002B16A6"/>
    <w:rsid w:val="002B19DD"/>
    <w:rsid w:val="002B2170"/>
    <w:rsid w:val="002B48CF"/>
    <w:rsid w:val="002C6602"/>
    <w:rsid w:val="002C72EF"/>
    <w:rsid w:val="002D269B"/>
    <w:rsid w:val="002D3DB1"/>
    <w:rsid w:val="002F214E"/>
    <w:rsid w:val="003031CC"/>
    <w:rsid w:val="0032075E"/>
    <w:rsid w:val="00322625"/>
    <w:rsid w:val="003448F6"/>
    <w:rsid w:val="00345C7D"/>
    <w:rsid w:val="00346052"/>
    <w:rsid w:val="00350E09"/>
    <w:rsid w:val="003532FE"/>
    <w:rsid w:val="00364380"/>
    <w:rsid w:val="00367151"/>
    <w:rsid w:val="00387B17"/>
    <w:rsid w:val="00396368"/>
    <w:rsid w:val="003B0727"/>
    <w:rsid w:val="003B2922"/>
    <w:rsid w:val="003B5818"/>
    <w:rsid w:val="003C0EFE"/>
    <w:rsid w:val="003C2ED0"/>
    <w:rsid w:val="003C510B"/>
    <w:rsid w:val="003C76C4"/>
    <w:rsid w:val="003D16C0"/>
    <w:rsid w:val="003F1955"/>
    <w:rsid w:val="0042139B"/>
    <w:rsid w:val="00432BA8"/>
    <w:rsid w:val="00461792"/>
    <w:rsid w:val="00485313"/>
    <w:rsid w:val="004875D4"/>
    <w:rsid w:val="004A0E70"/>
    <w:rsid w:val="004A1198"/>
    <w:rsid w:val="004A4C7F"/>
    <w:rsid w:val="004A53FF"/>
    <w:rsid w:val="004A58B1"/>
    <w:rsid w:val="004B5E16"/>
    <w:rsid w:val="004D14EF"/>
    <w:rsid w:val="004D21D6"/>
    <w:rsid w:val="00500F27"/>
    <w:rsid w:val="00501E34"/>
    <w:rsid w:val="00502C8B"/>
    <w:rsid w:val="00507817"/>
    <w:rsid w:val="00532B62"/>
    <w:rsid w:val="00540C89"/>
    <w:rsid w:val="005442BC"/>
    <w:rsid w:val="00555BA3"/>
    <w:rsid w:val="0055702D"/>
    <w:rsid w:val="00561C96"/>
    <w:rsid w:val="00576D3D"/>
    <w:rsid w:val="005815FE"/>
    <w:rsid w:val="00583EC7"/>
    <w:rsid w:val="00585B57"/>
    <w:rsid w:val="00586B85"/>
    <w:rsid w:val="00591C14"/>
    <w:rsid w:val="00592F40"/>
    <w:rsid w:val="005A7208"/>
    <w:rsid w:val="005B4995"/>
    <w:rsid w:val="005B6208"/>
    <w:rsid w:val="005D0572"/>
    <w:rsid w:val="005D4BF0"/>
    <w:rsid w:val="005E1755"/>
    <w:rsid w:val="005E5FAA"/>
    <w:rsid w:val="005E7250"/>
    <w:rsid w:val="005F5E9A"/>
    <w:rsid w:val="005F7A0C"/>
    <w:rsid w:val="00601F4D"/>
    <w:rsid w:val="00604ACA"/>
    <w:rsid w:val="0061026E"/>
    <w:rsid w:val="006122E8"/>
    <w:rsid w:val="006219B4"/>
    <w:rsid w:val="00625F32"/>
    <w:rsid w:val="00637E26"/>
    <w:rsid w:val="0064262E"/>
    <w:rsid w:val="006535F2"/>
    <w:rsid w:val="00662D7E"/>
    <w:rsid w:val="006665EE"/>
    <w:rsid w:val="0067337D"/>
    <w:rsid w:val="00690D9C"/>
    <w:rsid w:val="00691CBB"/>
    <w:rsid w:val="006953C3"/>
    <w:rsid w:val="0069599E"/>
    <w:rsid w:val="006A1CC8"/>
    <w:rsid w:val="006A30C5"/>
    <w:rsid w:val="006A7B51"/>
    <w:rsid w:val="006B1475"/>
    <w:rsid w:val="006C0471"/>
    <w:rsid w:val="006C1BCE"/>
    <w:rsid w:val="006D6D9C"/>
    <w:rsid w:val="0070037C"/>
    <w:rsid w:val="00700F5C"/>
    <w:rsid w:val="00702B26"/>
    <w:rsid w:val="00712AE5"/>
    <w:rsid w:val="00720B67"/>
    <w:rsid w:val="00720BCA"/>
    <w:rsid w:val="00725F04"/>
    <w:rsid w:val="00735FD3"/>
    <w:rsid w:val="00741E40"/>
    <w:rsid w:val="00742E97"/>
    <w:rsid w:val="007548EE"/>
    <w:rsid w:val="00760A66"/>
    <w:rsid w:val="00762994"/>
    <w:rsid w:val="007630E6"/>
    <w:rsid w:val="007701BA"/>
    <w:rsid w:val="00774297"/>
    <w:rsid w:val="00782A06"/>
    <w:rsid w:val="00784684"/>
    <w:rsid w:val="00784B5E"/>
    <w:rsid w:val="00792F77"/>
    <w:rsid w:val="00796AD7"/>
    <w:rsid w:val="007A51B4"/>
    <w:rsid w:val="007A51E0"/>
    <w:rsid w:val="007A7D81"/>
    <w:rsid w:val="007B32B0"/>
    <w:rsid w:val="007C328B"/>
    <w:rsid w:val="007C6BDC"/>
    <w:rsid w:val="007E15EC"/>
    <w:rsid w:val="007E3021"/>
    <w:rsid w:val="007E4898"/>
    <w:rsid w:val="007F230B"/>
    <w:rsid w:val="00800847"/>
    <w:rsid w:val="008008E9"/>
    <w:rsid w:val="0080179B"/>
    <w:rsid w:val="00807EFE"/>
    <w:rsid w:val="00814F51"/>
    <w:rsid w:val="00815CDF"/>
    <w:rsid w:val="00830242"/>
    <w:rsid w:val="00833EC0"/>
    <w:rsid w:val="008374CD"/>
    <w:rsid w:val="008401C0"/>
    <w:rsid w:val="008519D2"/>
    <w:rsid w:val="00851B03"/>
    <w:rsid w:val="00855E0A"/>
    <w:rsid w:val="00856035"/>
    <w:rsid w:val="0086473D"/>
    <w:rsid w:val="00864A2A"/>
    <w:rsid w:val="00864C1F"/>
    <w:rsid w:val="00897070"/>
    <w:rsid w:val="008A2241"/>
    <w:rsid w:val="008A4C56"/>
    <w:rsid w:val="008B1B72"/>
    <w:rsid w:val="008B5614"/>
    <w:rsid w:val="008B6FDC"/>
    <w:rsid w:val="008E401B"/>
    <w:rsid w:val="008F0653"/>
    <w:rsid w:val="00913E3F"/>
    <w:rsid w:val="00924B2A"/>
    <w:rsid w:val="00931CEB"/>
    <w:rsid w:val="00932C6B"/>
    <w:rsid w:val="009431B2"/>
    <w:rsid w:val="00943933"/>
    <w:rsid w:val="00963006"/>
    <w:rsid w:val="00965F10"/>
    <w:rsid w:val="00975D66"/>
    <w:rsid w:val="00992D7C"/>
    <w:rsid w:val="00994107"/>
    <w:rsid w:val="00995A98"/>
    <w:rsid w:val="009A1351"/>
    <w:rsid w:val="009B009A"/>
    <w:rsid w:val="009B66F6"/>
    <w:rsid w:val="009C12C6"/>
    <w:rsid w:val="009C2F30"/>
    <w:rsid w:val="009C3AC1"/>
    <w:rsid w:val="009C3F8B"/>
    <w:rsid w:val="00A0266D"/>
    <w:rsid w:val="00A07243"/>
    <w:rsid w:val="00A13545"/>
    <w:rsid w:val="00A23B85"/>
    <w:rsid w:val="00A350CD"/>
    <w:rsid w:val="00A36C8B"/>
    <w:rsid w:val="00A379B4"/>
    <w:rsid w:val="00A43FA2"/>
    <w:rsid w:val="00A4682D"/>
    <w:rsid w:val="00A564BE"/>
    <w:rsid w:val="00A81904"/>
    <w:rsid w:val="00A81D22"/>
    <w:rsid w:val="00A9063A"/>
    <w:rsid w:val="00A93FC2"/>
    <w:rsid w:val="00AA0B0F"/>
    <w:rsid w:val="00AB4A6E"/>
    <w:rsid w:val="00AB6C67"/>
    <w:rsid w:val="00AC2892"/>
    <w:rsid w:val="00AE4CEE"/>
    <w:rsid w:val="00AE4DDB"/>
    <w:rsid w:val="00AE6DD2"/>
    <w:rsid w:val="00AF518E"/>
    <w:rsid w:val="00B10E50"/>
    <w:rsid w:val="00B43049"/>
    <w:rsid w:val="00B44AC3"/>
    <w:rsid w:val="00B5364A"/>
    <w:rsid w:val="00B6394B"/>
    <w:rsid w:val="00B640AB"/>
    <w:rsid w:val="00B72FBC"/>
    <w:rsid w:val="00B84C5E"/>
    <w:rsid w:val="00B850F5"/>
    <w:rsid w:val="00B9052A"/>
    <w:rsid w:val="00B97F47"/>
    <w:rsid w:val="00BA662E"/>
    <w:rsid w:val="00BA6A57"/>
    <w:rsid w:val="00BA6F7B"/>
    <w:rsid w:val="00BB1100"/>
    <w:rsid w:val="00BC0985"/>
    <w:rsid w:val="00BC3762"/>
    <w:rsid w:val="00BD1EB8"/>
    <w:rsid w:val="00BF1379"/>
    <w:rsid w:val="00BF232D"/>
    <w:rsid w:val="00BF3E34"/>
    <w:rsid w:val="00BF53EA"/>
    <w:rsid w:val="00C11144"/>
    <w:rsid w:val="00C1485E"/>
    <w:rsid w:val="00C318B4"/>
    <w:rsid w:val="00C3786A"/>
    <w:rsid w:val="00C40827"/>
    <w:rsid w:val="00C4225A"/>
    <w:rsid w:val="00C42CBB"/>
    <w:rsid w:val="00C620D5"/>
    <w:rsid w:val="00C70871"/>
    <w:rsid w:val="00C71333"/>
    <w:rsid w:val="00C77B49"/>
    <w:rsid w:val="00C834FB"/>
    <w:rsid w:val="00C967BD"/>
    <w:rsid w:val="00CA1292"/>
    <w:rsid w:val="00CA43E8"/>
    <w:rsid w:val="00CB17B5"/>
    <w:rsid w:val="00CE2C34"/>
    <w:rsid w:val="00CF538A"/>
    <w:rsid w:val="00D01523"/>
    <w:rsid w:val="00D039E4"/>
    <w:rsid w:val="00D03D86"/>
    <w:rsid w:val="00D1160D"/>
    <w:rsid w:val="00D14BC9"/>
    <w:rsid w:val="00D25D6C"/>
    <w:rsid w:val="00D41AE8"/>
    <w:rsid w:val="00D42B1D"/>
    <w:rsid w:val="00D4595F"/>
    <w:rsid w:val="00D55872"/>
    <w:rsid w:val="00D62443"/>
    <w:rsid w:val="00D7202E"/>
    <w:rsid w:val="00D76345"/>
    <w:rsid w:val="00D76E81"/>
    <w:rsid w:val="00D80A78"/>
    <w:rsid w:val="00D877B8"/>
    <w:rsid w:val="00DA6448"/>
    <w:rsid w:val="00DB2EDA"/>
    <w:rsid w:val="00DB58F6"/>
    <w:rsid w:val="00DC1492"/>
    <w:rsid w:val="00DD22D3"/>
    <w:rsid w:val="00DD58EE"/>
    <w:rsid w:val="00DD70FE"/>
    <w:rsid w:val="00DE0F10"/>
    <w:rsid w:val="00DE1C8F"/>
    <w:rsid w:val="00DF274A"/>
    <w:rsid w:val="00E10914"/>
    <w:rsid w:val="00E12D3E"/>
    <w:rsid w:val="00E131F0"/>
    <w:rsid w:val="00E1352B"/>
    <w:rsid w:val="00E1475B"/>
    <w:rsid w:val="00E23D67"/>
    <w:rsid w:val="00E2742D"/>
    <w:rsid w:val="00E43A42"/>
    <w:rsid w:val="00E5034C"/>
    <w:rsid w:val="00E53D99"/>
    <w:rsid w:val="00E6718C"/>
    <w:rsid w:val="00E843F5"/>
    <w:rsid w:val="00EC219C"/>
    <w:rsid w:val="00ED0BF5"/>
    <w:rsid w:val="00ED429D"/>
    <w:rsid w:val="00EE2EEA"/>
    <w:rsid w:val="00EE3D9B"/>
    <w:rsid w:val="00EE4149"/>
    <w:rsid w:val="00EE6CA0"/>
    <w:rsid w:val="00EE78CE"/>
    <w:rsid w:val="00EF7D17"/>
    <w:rsid w:val="00F05B4E"/>
    <w:rsid w:val="00F108D2"/>
    <w:rsid w:val="00F13ED0"/>
    <w:rsid w:val="00F17A1E"/>
    <w:rsid w:val="00F36DB1"/>
    <w:rsid w:val="00F435F0"/>
    <w:rsid w:val="00F474CC"/>
    <w:rsid w:val="00F6093D"/>
    <w:rsid w:val="00F65713"/>
    <w:rsid w:val="00F6791F"/>
    <w:rsid w:val="00F73944"/>
    <w:rsid w:val="00F8090B"/>
    <w:rsid w:val="00F81924"/>
    <w:rsid w:val="00FA2C26"/>
    <w:rsid w:val="00FB1A13"/>
    <w:rsid w:val="00FB3C74"/>
    <w:rsid w:val="00FB4EC3"/>
    <w:rsid w:val="00FC195D"/>
    <w:rsid w:val="00FC22EA"/>
    <w:rsid w:val="00FD380F"/>
    <w:rsid w:val="00FD7C4C"/>
    <w:rsid w:val="00FD7E73"/>
    <w:rsid w:val="00FE35FB"/>
    <w:rsid w:val="00FE6C16"/>
    <w:rsid w:val="0147778C"/>
    <w:rsid w:val="014B63DA"/>
    <w:rsid w:val="01522A06"/>
    <w:rsid w:val="01577FD3"/>
    <w:rsid w:val="0171244A"/>
    <w:rsid w:val="017B0EFC"/>
    <w:rsid w:val="018934FB"/>
    <w:rsid w:val="018F1D3D"/>
    <w:rsid w:val="019A01D8"/>
    <w:rsid w:val="01B377B2"/>
    <w:rsid w:val="01BF37C7"/>
    <w:rsid w:val="01C67901"/>
    <w:rsid w:val="01E266D2"/>
    <w:rsid w:val="01E30D70"/>
    <w:rsid w:val="01E561D5"/>
    <w:rsid w:val="02062D92"/>
    <w:rsid w:val="02144A0D"/>
    <w:rsid w:val="023B6BC5"/>
    <w:rsid w:val="02453754"/>
    <w:rsid w:val="02557B17"/>
    <w:rsid w:val="025D604B"/>
    <w:rsid w:val="026305F6"/>
    <w:rsid w:val="026558D4"/>
    <w:rsid w:val="027110AD"/>
    <w:rsid w:val="027E16CE"/>
    <w:rsid w:val="02810A7C"/>
    <w:rsid w:val="02A209F3"/>
    <w:rsid w:val="02B218A4"/>
    <w:rsid w:val="02B336C9"/>
    <w:rsid w:val="02B60B1A"/>
    <w:rsid w:val="02D04596"/>
    <w:rsid w:val="02D5250B"/>
    <w:rsid w:val="02DA5D23"/>
    <w:rsid w:val="030E439F"/>
    <w:rsid w:val="03170DFC"/>
    <w:rsid w:val="031F4373"/>
    <w:rsid w:val="032A1453"/>
    <w:rsid w:val="032E6045"/>
    <w:rsid w:val="0330267E"/>
    <w:rsid w:val="03317123"/>
    <w:rsid w:val="0342095A"/>
    <w:rsid w:val="03433F84"/>
    <w:rsid w:val="034F1CC1"/>
    <w:rsid w:val="037167E7"/>
    <w:rsid w:val="037203C5"/>
    <w:rsid w:val="0379443F"/>
    <w:rsid w:val="038B1487"/>
    <w:rsid w:val="03AB417D"/>
    <w:rsid w:val="03BF5108"/>
    <w:rsid w:val="03C03826"/>
    <w:rsid w:val="03D34E1A"/>
    <w:rsid w:val="03F05872"/>
    <w:rsid w:val="042A37F0"/>
    <w:rsid w:val="042E5C95"/>
    <w:rsid w:val="04430447"/>
    <w:rsid w:val="044D23F5"/>
    <w:rsid w:val="044D7086"/>
    <w:rsid w:val="049113A1"/>
    <w:rsid w:val="049502F0"/>
    <w:rsid w:val="049820AD"/>
    <w:rsid w:val="04A86794"/>
    <w:rsid w:val="04A92FBF"/>
    <w:rsid w:val="04F901EE"/>
    <w:rsid w:val="04FA5037"/>
    <w:rsid w:val="050677C6"/>
    <w:rsid w:val="050822C5"/>
    <w:rsid w:val="05094D59"/>
    <w:rsid w:val="051A51DF"/>
    <w:rsid w:val="05212F54"/>
    <w:rsid w:val="05504C67"/>
    <w:rsid w:val="05567E58"/>
    <w:rsid w:val="0567786F"/>
    <w:rsid w:val="056F2E0E"/>
    <w:rsid w:val="056F5716"/>
    <w:rsid w:val="05731C06"/>
    <w:rsid w:val="057F30E2"/>
    <w:rsid w:val="059B712F"/>
    <w:rsid w:val="05AE154D"/>
    <w:rsid w:val="05B2077F"/>
    <w:rsid w:val="05C02FE7"/>
    <w:rsid w:val="05DC421B"/>
    <w:rsid w:val="05FA539F"/>
    <w:rsid w:val="05FC5DAB"/>
    <w:rsid w:val="060043D3"/>
    <w:rsid w:val="06071402"/>
    <w:rsid w:val="0609125E"/>
    <w:rsid w:val="061B5A7A"/>
    <w:rsid w:val="061F001A"/>
    <w:rsid w:val="062C76ED"/>
    <w:rsid w:val="06407B57"/>
    <w:rsid w:val="06456265"/>
    <w:rsid w:val="064E627E"/>
    <w:rsid w:val="06621C09"/>
    <w:rsid w:val="066456F7"/>
    <w:rsid w:val="066B1801"/>
    <w:rsid w:val="068316CE"/>
    <w:rsid w:val="069D1752"/>
    <w:rsid w:val="06E1569F"/>
    <w:rsid w:val="06E64825"/>
    <w:rsid w:val="06EF6229"/>
    <w:rsid w:val="071224BF"/>
    <w:rsid w:val="074E0CC4"/>
    <w:rsid w:val="074F739B"/>
    <w:rsid w:val="07533A0A"/>
    <w:rsid w:val="0757624F"/>
    <w:rsid w:val="076648B5"/>
    <w:rsid w:val="077213D5"/>
    <w:rsid w:val="077C551A"/>
    <w:rsid w:val="07941EF7"/>
    <w:rsid w:val="079E04F6"/>
    <w:rsid w:val="07AD5E6F"/>
    <w:rsid w:val="07B627CE"/>
    <w:rsid w:val="07B62F76"/>
    <w:rsid w:val="07CD5180"/>
    <w:rsid w:val="07F716F9"/>
    <w:rsid w:val="07FE404B"/>
    <w:rsid w:val="08061F6D"/>
    <w:rsid w:val="080B7E0D"/>
    <w:rsid w:val="08285B98"/>
    <w:rsid w:val="08570A44"/>
    <w:rsid w:val="0860725C"/>
    <w:rsid w:val="087470D4"/>
    <w:rsid w:val="08907C6B"/>
    <w:rsid w:val="0892699A"/>
    <w:rsid w:val="089D7C92"/>
    <w:rsid w:val="08AC25CB"/>
    <w:rsid w:val="08B35558"/>
    <w:rsid w:val="08C03ABF"/>
    <w:rsid w:val="08D20622"/>
    <w:rsid w:val="08D51F99"/>
    <w:rsid w:val="08E33EE3"/>
    <w:rsid w:val="08E76DF3"/>
    <w:rsid w:val="08E77F9A"/>
    <w:rsid w:val="0907217D"/>
    <w:rsid w:val="09097F7F"/>
    <w:rsid w:val="093D74D6"/>
    <w:rsid w:val="093D7D29"/>
    <w:rsid w:val="0955209F"/>
    <w:rsid w:val="09562A81"/>
    <w:rsid w:val="09640205"/>
    <w:rsid w:val="0966277A"/>
    <w:rsid w:val="096A04BC"/>
    <w:rsid w:val="097963AA"/>
    <w:rsid w:val="09985A97"/>
    <w:rsid w:val="09A3752A"/>
    <w:rsid w:val="09A40D87"/>
    <w:rsid w:val="09BC3524"/>
    <w:rsid w:val="09D607F3"/>
    <w:rsid w:val="09E87633"/>
    <w:rsid w:val="09EB30CC"/>
    <w:rsid w:val="09F71624"/>
    <w:rsid w:val="0A011493"/>
    <w:rsid w:val="0A04030C"/>
    <w:rsid w:val="0A0A218D"/>
    <w:rsid w:val="0A195A3E"/>
    <w:rsid w:val="0A291D10"/>
    <w:rsid w:val="0A3960E0"/>
    <w:rsid w:val="0A4505E1"/>
    <w:rsid w:val="0A4800D1"/>
    <w:rsid w:val="0A4E4E55"/>
    <w:rsid w:val="0A851144"/>
    <w:rsid w:val="0A903623"/>
    <w:rsid w:val="0A924C41"/>
    <w:rsid w:val="0AA255E1"/>
    <w:rsid w:val="0AA947CA"/>
    <w:rsid w:val="0AB45767"/>
    <w:rsid w:val="0AD41965"/>
    <w:rsid w:val="0ADA59C5"/>
    <w:rsid w:val="0ADF4857"/>
    <w:rsid w:val="0B34518E"/>
    <w:rsid w:val="0B430CAA"/>
    <w:rsid w:val="0B784D07"/>
    <w:rsid w:val="0B7C7990"/>
    <w:rsid w:val="0B804877"/>
    <w:rsid w:val="0B88466D"/>
    <w:rsid w:val="0BAE4D7B"/>
    <w:rsid w:val="0BCE022F"/>
    <w:rsid w:val="0BD748B4"/>
    <w:rsid w:val="0BE1508B"/>
    <w:rsid w:val="0BE870ED"/>
    <w:rsid w:val="0BF35F2D"/>
    <w:rsid w:val="0C0B13B7"/>
    <w:rsid w:val="0C122745"/>
    <w:rsid w:val="0C136F68"/>
    <w:rsid w:val="0C152235"/>
    <w:rsid w:val="0C1D747E"/>
    <w:rsid w:val="0C693884"/>
    <w:rsid w:val="0C7A1229"/>
    <w:rsid w:val="0C9F5E74"/>
    <w:rsid w:val="0CB55175"/>
    <w:rsid w:val="0CC53C5B"/>
    <w:rsid w:val="0CF32FF4"/>
    <w:rsid w:val="0D015536"/>
    <w:rsid w:val="0D081E01"/>
    <w:rsid w:val="0D145E24"/>
    <w:rsid w:val="0D15511D"/>
    <w:rsid w:val="0D211A66"/>
    <w:rsid w:val="0D314E4D"/>
    <w:rsid w:val="0D53672A"/>
    <w:rsid w:val="0D666CF8"/>
    <w:rsid w:val="0DAD4F19"/>
    <w:rsid w:val="0DBB6067"/>
    <w:rsid w:val="0DD36B7F"/>
    <w:rsid w:val="0DE545B5"/>
    <w:rsid w:val="0DE54690"/>
    <w:rsid w:val="0DE93610"/>
    <w:rsid w:val="0DE97897"/>
    <w:rsid w:val="0DF540CC"/>
    <w:rsid w:val="0DFC5153"/>
    <w:rsid w:val="0E002C66"/>
    <w:rsid w:val="0E04629A"/>
    <w:rsid w:val="0E181288"/>
    <w:rsid w:val="0E1D755D"/>
    <w:rsid w:val="0E2558DB"/>
    <w:rsid w:val="0E285A16"/>
    <w:rsid w:val="0E291E69"/>
    <w:rsid w:val="0E2D7D0A"/>
    <w:rsid w:val="0E37099D"/>
    <w:rsid w:val="0E392026"/>
    <w:rsid w:val="0E5057A7"/>
    <w:rsid w:val="0E5F743D"/>
    <w:rsid w:val="0E6E46FD"/>
    <w:rsid w:val="0E7057D3"/>
    <w:rsid w:val="0E9E344E"/>
    <w:rsid w:val="0EC01CAD"/>
    <w:rsid w:val="0ED52B47"/>
    <w:rsid w:val="0F031221"/>
    <w:rsid w:val="0F0F408A"/>
    <w:rsid w:val="0F31382A"/>
    <w:rsid w:val="0F3B3551"/>
    <w:rsid w:val="0F3C01F3"/>
    <w:rsid w:val="0F3C461F"/>
    <w:rsid w:val="0F425B7F"/>
    <w:rsid w:val="0F490007"/>
    <w:rsid w:val="0F4E527D"/>
    <w:rsid w:val="0F507886"/>
    <w:rsid w:val="0F7B1AD0"/>
    <w:rsid w:val="0F947E76"/>
    <w:rsid w:val="0F96368D"/>
    <w:rsid w:val="0F9863A8"/>
    <w:rsid w:val="0FBC5AAE"/>
    <w:rsid w:val="0FD22917"/>
    <w:rsid w:val="0FD32938"/>
    <w:rsid w:val="0FEC3623"/>
    <w:rsid w:val="10084600"/>
    <w:rsid w:val="10143BE6"/>
    <w:rsid w:val="102E2EDB"/>
    <w:rsid w:val="10511036"/>
    <w:rsid w:val="10582192"/>
    <w:rsid w:val="105F2E0B"/>
    <w:rsid w:val="10786CA5"/>
    <w:rsid w:val="10792ECD"/>
    <w:rsid w:val="107B5304"/>
    <w:rsid w:val="109978FA"/>
    <w:rsid w:val="10AD1D66"/>
    <w:rsid w:val="10B32711"/>
    <w:rsid w:val="10D0328F"/>
    <w:rsid w:val="10FF3EB3"/>
    <w:rsid w:val="11005262"/>
    <w:rsid w:val="110A4333"/>
    <w:rsid w:val="110F7B9B"/>
    <w:rsid w:val="111451B1"/>
    <w:rsid w:val="111F5990"/>
    <w:rsid w:val="113A0A1A"/>
    <w:rsid w:val="1167671A"/>
    <w:rsid w:val="11A472FC"/>
    <w:rsid w:val="11AA55A7"/>
    <w:rsid w:val="11B063B0"/>
    <w:rsid w:val="11C10E95"/>
    <w:rsid w:val="11D84431"/>
    <w:rsid w:val="12093457"/>
    <w:rsid w:val="120F1AA7"/>
    <w:rsid w:val="121743FD"/>
    <w:rsid w:val="121C07D7"/>
    <w:rsid w:val="121C3257"/>
    <w:rsid w:val="12265672"/>
    <w:rsid w:val="122F5385"/>
    <w:rsid w:val="12582E7C"/>
    <w:rsid w:val="125A4E46"/>
    <w:rsid w:val="1268375C"/>
    <w:rsid w:val="12A12966"/>
    <w:rsid w:val="12AA36D7"/>
    <w:rsid w:val="12B2782E"/>
    <w:rsid w:val="12B410CE"/>
    <w:rsid w:val="12B502CE"/>
    <w:rsid w:val="12C3394B"/>
    <w:rsid w:val="12C50511"/>
    <w:rsid w:val="12C86530"/>
    <w:rsid w:val="12CD3582"/>
    <w:rsid w:val="12E64659"/>
    <w:rsid w:val="12F7727B"/>
    <w:rsid w:val="130A7D02"/>
    <w:rsid w:val="133A2B6A"/>
    <w:rsid w:val="133E2072"/>
    <w:rsid w:val="13443E2F"/>
    <w:rsid w:val="13594772"/>
    <w:rsid w:val="13935E9F"/>
    <w:rsid w:val="13AD66D1"/>
    <w:rsid w:val="13AF028F"/>
    <w:rsid w:val="13B007B4"/>
    <w:rsid w:val="13CA5BD9"/>
    <w:rsid w:val="13D80718"/>
    <w:rsid w:val="14031F8C"/>
    <w:rsid w:val="1404367A"/>
    <w:rsid w:val="140937EE"/>
    <w:rsid w:val="14096C37"/>
    <w:rsid w:val="14107C94"/>
    <w:rsid w:val="14554DDF"/>
    <w:rsid w:val="147E5046"/>
    <w:rsid w:val="149A3C1F"/>
    <w:rsid w:val="14B44CE1"/>
    <w:rsid w:val="14E86739"/>
    <w:rsid w:val="14F055ED"/>
    <w:rsid w:val="15073AD9"/>
    <w:rsid w:val="15233C15"/>
    <w:rsid w:val="154124DE"/>
    <w:rsid w:val="15510C81"/>
    <w:rsid w:val="156C3FC0"/>
    <w:rsid w:val="156D5113"/>
    <w:rsid w:val="157E05B3"/>
    <w:rsid w:val="15853F88"/>
    <w:rsid w:val="159C5D09"/>
    <w:rsid w:val="15A54839"/>
    <w:rsid w:val="15AA1458"/>
    <w:rsid w:val="15AA1C40"/>
    <w:rsid w:val="15B260E2"/>
    <w:rsid w:val="15CA437E"/>
    <w:rsid w:val="15D07FFA"/>
    <w:rsid w:val="15D13C8F"/>
    <w:rsid w:val="16106380"/>
    <w:rsid w:val="1633028D"/>
    <w:rsid w:val="164E4CC1"/>
    <w:rsid w:val="164F5F6D"/>
    <w:rsid w:val="16514BA0"/>
    <w:rsid w:val="16552233"/>
    <w:rsid w:val="165A02A9"/>
    <w:rsid w:val="165E3157"/>
    <w:rsid w:val="166714E7"/>
    <w:rsid w:val="166E5566"/>
    <w:rsid w:val="166F7483"/>
    <w:rsid w:val="16702E8A"/>
    <w:rsid w:val="16956C0D"/>
    <w:rsid w:val="1696242A"/>
    <w:rsid w:val="169C77DB"/>
    <w:rsid w:val="16AA1541"/>
    <w:rsid w:val="16CA07EC"/>
    <w:rsid w:val="16EF2001"/>
    <w:rsid w:val="16F13FCB"/>
    <w:rsid w:val="170A0375"/>
    <w:rsid w:val="171657DF"/>
    <w:rsid w:val="17251405"/>
    <w:rsid w:val="17294DEE"/>
    <w:rsid w:val="172D48D7"/>
    <w:rsid w:val="1738222C"/>
    <w:rsid w:val="174A5489"/>
    <w:rsid w:val="17564279"/>
    <w:rsid w:val="175C6552"/>
    <w:rsid w:val="17B5540C"/>
    <w:rsid w:val="17BD41A1"/>
    <w:rsid w:val="17CF2948"/>
    <w:rsid w:val="17E248C6"/>
    <w:rsid w:val="17EC3F1E"/>
    <w:rsid w:val="18064BF2"/>
    <w:rsid w:val="18104D4C"/>
    <w:rsid w:val="181141F9"/>
    <w:rsid w:val="182C6135"/>
    <w:rsid w:val="18402BA2"/>
    <w:rsid w:val="18616F2E"/>
    <w:rsid w:val="18850944"/>
    <w:rsid w:val="189C053F"/>
    <w:rsid w:val="18A065BF"/>
    <w:rsid w:val="18C4126B"/>
    <w:rsid w:val="18C50D81"/>
    <w:rsid w:val="18E31559"/>
    <w:rsid w:val="18E95A28"/>
    <w:rsid w:val="18F22558"/>
    <w:rsid w:val="18F92486"/>
    <w:rsid w:val="18FC7A32"/>
    <w:rsid w:val="18FF7EBE"/>
    <w:rsid w:val="19053C83"/>
    <w:rsid w:val="190F6CF4"/>
    <w:rsid w:val="19255199"/>
    <w:rsid w:val="192B12EA"/>
    <w:rsid w:val="194435D6"/>
    <w:rsid w:val="19474C51"/>
    <w:rsid w:val="19526BFE"/>
    <w:rsid w:val="19586E6E"/>
    <w:rsid w:val="198C4708"/>
    <w:rsid w:val="198D5A72"/>
    <w:rsid w:val="19960E59"/>
    <w:rsid w:val="199C06A0"/>
    <w:rsid w:val="199D3AA5"/>
    <w:rsid w:val="19BD4903"/>
    <w:rsid w:val="19C178F4"/>
    <w:rsid w:val="19F24B75"/>
    <w:rsid w:val="19F60439"/>
    <w:rsid w:val="19FE198E"/>
    <w:rsid w:val="1A0275A8"/>
    <w:rsid w:val="1A057D8D"/>
    <w:rsid w:val="1A18361C"/>
    <w:rsid w:val="1A225292"/>
    <w:rsid w:val="1A277F77"/>
    <w:rsid w:val="1A2F6BB8"/>
    <w:rsid w:val="1A367A00"/>
    <w:rsid w:val="1A450E5E"/>
    <w:rsid w:val="1A5F515F"/>
    <w:rsid w:val="1A7F369B"/>
    <w:rsid w:val="1A8C3383"/>
    <w:rsid w:val="1A8D5DC2"/>
    <w:rsid w:val="1ABD6B47"/>
    <w:rsid w:val="1AC83294"/>
    <w:rsid w:val="1ADF3CF7"/>
    <w:rsid w:val="1B1B64F7"/>
    <w:rsid w:val="1B1C713C"/>
    <w:rsid w:val="1B2416C9"/>
    <w:rsid w:val="1B482848"/>
    <w:rsid w:val="1B5F4096"/>
    <w:rsid w:val="1B811695"/>
    <w:rsid w:val="1B8B44A0"/>
    <w:rsid w:val="1B964B8F"/>
    <w:rsid w:val="1B9D06DE"/>
    <w:rsid w:val="1BB569B9"/>
    <w:rsid w:val="1BE93D3D"/>
    <w:rsid w:val="1BF65BDF"/>
    <w:rsid w:val="1C0A51E7"/>
    <w:rsid w:val="1C2047DE"/>
    <w:rsid w:val="1C297D63"/>
    <w:rsid w:val="1C316C17"/>
    <w:rsid w:val="1C3D380E"/>
    <w:rsid w:val="1C566883"/>
    <w:rsid w:val="1C5B16DA"/>
    <w:rsid w:val="1C6D0F5F"/>
    <w:rsid w:val="1C810B1A"/>
    <w:rsid w:val="1CB3587E"/>
    <w:rsid w:val="1CDC7CC4"/>
    <w:rsid w:val="1CE04DCE"/>
    <w:rsid w:val="1CF61D03"/>
    <w:rsid w:val="1CF71F04"/>
    <w:rsid w:val="1CF91D37"/>
    <w:rsid w:val="1D025157"/>
    <w:rsid w:val="1D102CD1"/>
    <w:rsid w:val="1D197C59"/>
    <w:rsid w:val="1D1B04AB"/>
    <w:rsid w:val="1D3F7112"/>
    <w:rsid w:val="1D4806BC"/>
    <w:rsid w:val="1D5F6564"/>
    <w:rsid w:val="1D6152DE"/>
    <w:rsid w:val="1D6F10BC"/>
    <w:rsid w:val="1D730816"/>
    <w:rsid w:val="1D76155D"/>
    <w:rsid w:val="1D936DC9"/>
    <w:rsid w:val="1D973739"/>
    <w:rsid w:val="1D9E1FE2"/>
    <w:rsid w:val="1DAA22DA"/>
    <w:rsid w:val="1DAA4ED3"/>
    <w:rsid w:val="1DB56AB6"/>
    <w:rsid w:val="1DC1221D"/>
    <w:rsid w:val="1DD1678F"/>
    <w:rsid w:val="1DED6B6E"/>
    <w:rsid w:val="1DF32C37"/>
    <w:rsid w:val="1DFE6FCD"/>
    <w:rsid w:val="1E036050"/>
    <w:rsid w:val="1E1A30A8"/>
    <w:rsid w:val="1E312EFF"/>
    <w:rsid w:val="1E340C41"/>
    <w:rsid w:val="1E572B2D"/>
    <w:rsid w:val="1E597F11"/>
    <w:rsid w:val="1E5B3A88"/>
    <w:rsid w:val="1E5D482F"/>
    <w:rsid w:val="1E66628E"/>
    <w:rsid w:val="1E6F3542"/>
    <w:rsid w:val="1E721A60"/>
    <w:rsid w:val="1E7643EA"/>
    <w:rsid w:val="1E803E86"/>
    <w:rsid w:val="1E871677"/>
    <w:rsid w:val="1E8E20FF"/>
    <w:rsid w:val="1E9B481C"/>
    <w:rsid w:val="1EAE4DF0"/>
    <w:rsid w:val="1EC65255"/>
    <w:rsid w:val="1ECA23EF"/>
    <w:rsid w:val="1EE948EE"/>
    <w:rsid w:val="1EEB5E1D"/>
    <w:rsid w:val="1EF6110A"/>
    <w:rsid w:val="1F0022DD"/>
    <w:rsid w:val="1F130856"/>
    <w:rsid w:val="1F1958F6"/>
    <w:rsid w:val="1F1F544D"/>
    <w:rsid w:val="1F26420F"/>
    <w:rsid w:val="1F2B33B9"/>
    <w:rsid w:val="1F33648D"/>
    <w:rsid w:val="1F3D447F"/>
    <w:rsid w:val="1F446945"/>
    <w:rsid w:val="1F4C72BD"/>
    <w:rsid w:val="1F561F9A"/>
    <w:rsid w:val="1F675BF7"/>
    <w:rsid w:val="1F686C78"/>
    <w:rsid w:val="1F842E11"/>
    <w:rsid w:val="1F8E0B46"/>
    <w:rsid w:val="1FB11A32"/>
    <w:rsid w:val="1FC16A79"/>
    <w:rsid w:val="1FCD24C6"/>
    <w:rsid w:val="1FD53D5E"/>
    <w:rsid w:val="200C49C1"/>
    <w:rsid w:val="201C4107"/>
    <w:rsid w:val="203211B0"/>
    <w:rsid w:val="20367192"/>
    <w:rsid w:val="2037039E"/>
    <w:rsid w:val="204258B3"/>
    <w:rsid w:val="20444B8E"/>
    <w:rsid w:val="20482BC8"/>
    <w:rsid w:val="204A7105"/>
    <w:rsid w:val="20753775"/>
    <w:rsid w:val="20766701"/>
    <w:rsid w:val="207927B1"/>
    <w:rsid w:val="207B0647"/>
    <w:rsid w:val="209B4B21"/>
    <w:rsid w:val="209C340F"/>
    <w:rsid w:val="20C1729E"/>
    <w:rsid w:val="20CF253F"/>
    <w:rsid w:val="20D1603F"/>
    <w:rsid w:val="20D94575"/>
    <w:rsid w:val="20DB1848"/>
    <w:rsid w:val="20DB5C70"/>
    <w:rsid w:val="21065F6A"/>
    <w:rsid w:val="211A5ECC"/>
    <w:rsid w:val="211D473B"/>
    <w:rsid w:val="215374BB"/>
    <w:rsid w:val="21586A89"/>
    <w:rsid w:val="216466AF"/>
    <w:rsid w:val="216E50C1"/>
    <w:rsid w:val="21715920"/>
    <w:rsid w:val="21770C70"/>
    <w:rsid w:val="217A4BBD"/>
    <w:rsid w:val="218968DE"/>
    <w:rsid w:val="218B3233"/>
    <w:rsid w:val="218D48F0"/>
    <w:rsid w:val="218F374C"/>
    <w:rsid w:val="21993530"/>
    <w:rsid w:val="21A12DCA"/>
    <w:rsid w:val="21A84A82"/>
    <w:rsid w:val="21AA0B06"/>
    <w:rsid w:val="21ED3919"/>
    <w:rsid w:val="21EF1F4F"/>
    <w:rsid w:val="21F61BF0"/>
    <w:rsid w:val="2213305A"/>
    <w:rsid w:val="221B7D83"/>
    <w:rsid w:val="222029F4"/>
    <w:rsid w:val="22235757"/>
    <w:rsid w:val="222931C6"/>
    <w:rsid w:val="2230171F"/>
    <w:rsid w:val="223065D1"/>
    <w:rsid w:val="22327ACA"/>
    <w:rsid w:val="22396826"/>
    <w:rsid w:val="226F5062"/>
    <w:rsid w:val="22791318"/>
    <w:rsid w:val="227D2B6F"/>
    <w:rsid w:val="22805FDE"/>
    <w:rsid w:val="22853819"/>
    <w:rsid w:val="22896734"/>
    <w:rsid w:val="228F097B"/>
    <w:rsid w:val="228F68F6"/>
    <w:rsid w:val="2294552D"/>
    <w:rsid w:val="22A243CB"/>
    <w:rsid w:val="22A67D55"/>
    <w:rsid w:val="22B91142"/>
    <w:rsid w:val="22BA7CF9"/>
    <w:rsid w:val="22DF561F"/>
    <w:rsid w:val="22E20C6B"/>
    <w:rsid w:val="230208EF"/>
    <w:rsid w:val="230F6E22"/>
    <w:rsid w:val="23160915"/>
    <w:rsid w:val="231A0504"/>
    <w:rsid w:val="231F7052"/>
    <w:rsid w:val="23220009"/>
    <w:rsid w:val="232A5768"/>
    <w:rsid w:val="232B1BCF"/>
    <w:rsid w:val="232F19D7"/>
    <w:rsid w:val="23554590"/>
    <w:rsid w:val="235810BE"/>
    <w:rsid w:val="235D4796"/>
    <w:rsid w:val="23652067"/>
    <w:rsid w:val="237573C6"/>
    <w:rsid w:val="23931DDC"/>
    <w:rsid w:val="23A221A9"/>
    <w:rsid w:val="23A9224E"/>
    <w:rsid w:val="23BD6FE3"/>
    <w:rsid w:val="23C626C9"/>
    <w:rsid w:val="23C94A94"/>
    <w:rsid w:val="23E04358"/>
    <w:rsid w:val="24015121"/>
    <w:rsid w:val="240E4847"/>
    <w:rsid w:val="244169BF"/>
    <w:rsid w:val="244F2331"/>
    <w:rsid w:val="24565B0F"/>
    <w:rsid w:val="24833BA4"/>
    <w:rsid w:val="24853F3C"/>
    <w:rsid w:val="249146F7"/>
    <w:rsid w:val="24A54761"/>
    <w:rsid w:val="24A563F4"/>
    <w:rsid w:val="24BE3AF6"/>
    <w:rsid w:val="24C30D9C"/>
    <w:rsid w:val="24E72F8F"/>
    <w:rsid w:val="24F427D9"/>
    <w:rsid w:val="250516B5"/>
    <w:rsid w:val="25096983"/>
    <w:rsid w:val="25126F82"/>
    <w:rsid w:val="251F690D"/>
    <w:rsid w:val="25231F29"/>
    <w:rsid w:val="25341526"/>
    <w:rsid w:val="254E613A"/>
    <w:rsid w:val="25562B4E"/>
    <w:rsid w:val="255B7E73"/>
    <w:rsid w:val="256C11AF"/>
    <w:rsid w:val="25752935"/>
    <w:rsid w:val="25867FD4"/>
    <w:rsid w:val="2588153F"/>
    <w:rsid w:val="25A0151B"/>
    <w:rsid w:val="25A1676E"/>
    <w:rsid w:val="25AF73D3"/>
    <w:rsid w:val="25C579D5"/>
    <w:rsid w:val="25C96113"/>
    <w:rsid w:val="25D66288"/>
    <w:rsid w:val="25DA0899"/>
    <w:rsid w:val="25E22D06"/>
    <w:rsid w:val="25E54879"/>
    <w:rsid w:val="260F37D8"/>
    <w:rsid w:val="26306A6D"/>
    <w:rsid w:val="263C0693"/>
    <w:rsid w:val="263D779F"/>
    <w:rsid w:val="26431A21"/>
    <w:rsid w:val="2652435A"/>
    <w:rsid w:val="26693728"/>
    <w:rsid w:val="266C237C"/>
    <w:rsid w:val="26914E82"/>
    <w:rsid w:val="26973D9F"/>
    <w:rsid w:val="26A06E73"/>
    <w:rsid w:val="26A43829"/>
    <w:rsid w:val="26AF355A"/>
    <w:rsid w:val="26B00670"/>
    <w:rsid w:val="26B446CD"/>
    <w:rsid w:val="26C54B2C"/>
    <w:rsid w:val="26CC7C68"/>
    <w:rsid w:val="26DB6FCE"/>
    <w:rsid w:val="270A0791"/>
    <w:rsid w:val="271C6FA1"/>
    <w:rsid w:val="271F32C8"/>
    <w:rsid w:val="272F6BDD"/>
    <w:rsid w:val="27315D1D"/>
    <w:rsid w:val="2749298F"/>
    <w:rsid w:val="276A3D72"/>
    <w:rsid w:val="276C18E1"/>
    <w:rsid w:val="27713228"/>
    <w:rsid w:val="277D3F43"/>
    <w:rsid w:val="27846795"/>
    <w:rsid w:val="278B508D"/>
    <w:rsid w:val="2792538E"/>
    <w:rsid w:val="27AC074C"/>
    <w:rsid w:val="27B32087"/>
    <w:rsid w:val="27B974F4"/>
    <w:rsid w:val="27C0642F"/>
    <w:rsid w:val="27FE6547"/>
    <w:rsid w:val="281D44F4"/>
    <w:rsid w:val="281D6E26"/>
    <w:rsid w:val="28394F1E"/>
    <w:rsid w:val="28680F94"/>
    <w:rsid w:val="287320EC"/>
    <w:rsid w:val="2895064C"/>
    <w:rsid w:val="289E73E3"/>
    <w:rsid w:val="28BF330C"/>
    <w:rsid w:val="28DD7E6F"/>
    <w:rsid w:val="290C7562"/>
    <w:rsid w:val="29146633"/>
    <w:rsid w:val="2915658F"/>
    <w:rsid w:val="29346BDE"/>
    <w:rsid w:val="294207D9"/>
    <w:rsid w:val="295F5AE3"/>
    <w:rsid w:val="29805ABC"/>
    <w:rsid w:val="29902FBA"/>
    <w:rsid w:val="299F6FCD"/>
    <w:rsid w:val="29BA45AB"/>
    <w:rsid w:val="29BD3BAD"/>
    <w:rsid w:val="29C4095E"/>
    <w:rsid w:val="29E65839"/>
    <w:rsid w:val="29EB1579"/>
    <w:rsid w:val="29F23E8A"/>
    <w:rsid w:val="29F953BB"/>
    <w:rsid w:val="2A0260D0"/>
    <w:rsid w:val="2A052D31"/>
    <w:rsid w:val="2A2563AF"/>
    <w:rsid w:val="2A3049B2"/>
    <w:rsid w:val="2A5C57A7"/>
    <w:rsid w:val="2A6C51CD"/>
    <w:rsid w:val="2A730AEB"/>
    <w:rsid w:val="2A9D78C9"/>
    <w:rsid w:val="2AB06D2C"/>
    <w:rsid w:val="2AB21149"/>
    <w:rsid w:val="2ABD048D"/>
    <w:rsid w:val="2AD03A9F"/>
    <w:rsid w:val="2AD77099"/>
    <w:rsid w:val="2AE33C36"/>
    <w:rsid w:val="2AFF488F"/>
    <w:rsid w:val="2B07172B"/>
    <w:rsid w:val="2B1A417C"/>
    <w:rsid w:val="2B1F3113"/>
    <w:rsid w:val="2B34402E"/>
    <w:rsid w:val="2B540D26"/>
    <w:rsid w:val="2B5474ED"/>
    <w:rsid w:val="2B594C74"/>
    <w:rsid w:val="2B7B1700"/>
    <w:rsid w:val="2B862FB3"/>
    <w:rsid w:val="2B8F74B6"/>
    <w:rsid w:val="2B99040C"/>
    <w:rsid w:val="2BC453B2"/>
    <w:rsid w:val="2BC76C50"/>
    <w:rsid w:val="2BD219D1"/>
    <w:rsid w:val="2BD527FA"/>
    <w:rsid w:val="2BDB4856"/>
    <w:rsid w:val="2BF52EFA"/>
    <w:rsid w:val="2C0864AD"/>
    <w:rsid w:val="2C0B2FE1"/>
    <w:rsid w:val="2C242F9C"/>
    <w:rsid w:val="2C255D3B"/>
    <w:rsid w:val="2C2F6A03"/>
    <w:rsid w:val="2C464019"/>
    <w:rsid w:val="2C4F698D"/>
    <w:rsid w:val="2C521E38"/>
    <w:rsid w:val="2C576226"/>
    <w:rsid w:val="2C78043D"/>
    <w:rsid w:val="2C9C43F8"/>
    <w:rsid w:val="2CA065BF"/>
    <w:rsid w:val="2CA60572"/>
    <w:rsid w:val="2CC71D2E"/>
    <w:rsid w:val="2CCF0FE4"/>
    <w:rsid w:val="2CD07D87"/>
    <w:rsid w:val="2CEB2E12"/>
    <w:rsid w:val="2CF02346"/>
    <w:rsid w:val="2CF14FED"/>
    <w:rsid w:val="2CF239FE"/>
    <w:rsid w:val="2CF51684"/>
    <w:rsid w:val="2CF6694B"/>
    <w:rsid w:val="2CF83EBA"/>
    <w:rsid w:val="2D1B54A6"/>
    <w:rsid w:val="2D2C1C2B"/>
    <w:rsid w:val="2D35325E"/>
    <w:rsid w:val="2D6D2E90"/>
    <w:rsid w:val="2D7474C4"/>
    <w:rsid w:val="2D74754C"/>
    <w:rsid w:val="2D817915"/>
    <w:rsid w:val="2D856DC3"/>
    <w:rsid w:val="2D9C3685"/>
    <w:rsid w:val="2DA27333"/>
    <w:rsid w:val="2DF0599F"/>
    <w:rsid w:val="2DF301D1"/>
    <w:rsid w:val="2DF70F5C"/>
    <w:rsid w:val="2E112405"/>
    <w:rsid w:val="2E162111"/>
    <w:rsid w:val="2E1A3E5E"/>
    <w:rsid w:val="2E1A44FF"/>
    <w:rsid w:val="2E1F2B51"/>
    <w:rsid w:val="2E204D3E"/>
    <w:rsid w:val="2E241D76"/>
    <w:rsid w:val="2E3F1821"/>
    <w:rsid w:val="2E431EAE"/>
    <w:rsid w:val="2E5D5EBC"/>
    <w:rsid w:val="2E7043B3"/>
    <w:rsid w:val="2E7330BF"/>
    <w:rsid w:val="2E7B3D22"/>
    <w:rsid w:val="2E832F9F"/>
    <w:rsid w:val="2E8B2F20"/>
    <w:rsid w:val="2EA4771D"/>
    <w:rsid w:val="2EBE60E2"/>
    <w:rsid w:val="2ECE6996"/>
    <w:rsid w:val="2EDE785B"/>
    <w:rsid w:val="2EE813C1"/>
    <w:rsid w:val="2EF75A9F"/>
    <w:rsid w:val="2F212B1B"/>
    <w:rsid w:val="2F3960B7"/>
    <w:rsid w:val="2F3A47FE"/>
    <w:rsid w:val="2F3A598B"/>
    <w:rsid w:val="2F657BB4"/>
    <w:rsid w:val="2F6F3887"/>
    <w:rsid w:val="2F704636"/>
    <w:rsid w:val="2F7D2EF9"/>
    <w:rsid w:val="2F8B3036"/>
    <w:rsid w:val="2F8B4FC7"/>
    <w:rsid w:val="2F9629E8"/>
    <w:rsid w:val="2FB36AEE"/>
    <w:rsid w:val="2FC83EEB"/>
    <w:rsid w:val="2FE204FD"/>
    <w:rsid w:val="2FE73D65"/>
    <w:rsid w:val="2FEC52BE"/>
    <w:rsid w:val="3004501A"/>
    <w:rsid w:val="30170D66"/>
    <w:rsid w:val="30481B09"/>
    <w:rsid w:val="304C571B"/>
    <w:rsid w:val="304E247E"/>
    <w:rsid w:val="30522E6E"/>
    <w:rsid w:val="3062363E"/>
    <w:rsid w:val="30780277"/>
    <w:rsid w:val="30825A13"/>
    <w:rsid w:val="309317F7"/>
    <w:rsid w:val="30BB30B2"/>
    <w:rsid w:val="30BF33FB"/>
    <w:rsid w:val="30FA13C7"/>
    <w:rsid w:val="310E398D"/>
    <w:rsid w:val="3110685C"/>
    <w:rsid w:val="31124E12"/>
    <w:rsid w:val="313C49AD"/>
    <w:rsid w:val="313D45A5"/>
    <w:rsid w:val="31400522"/>
    <w:rsid w:val="3164169D"/>
    <w:rsid w:val="31766BF1"/>
    <w:rsid w:val="31851EC0"/>
    <w:rsid w:val="31A646A6"/>
    <w:rsid w:val="31AC0DC2"/>
    <w:rsid w:val="31C23E75"/>
    <w:rsid w:val="31C51E84"/>
    <w:rsid w:val="31D13313"/>
    <w:rsid w:val="31D17301"/>
    <w:rsid w:val="31D87321"/>
    <w:rsid w:val="31E247E4"/>
    <w:rsid w:val="31E26AFF"/>
    <w:rsid w:val="31F7113A"/>
    <w:rsid w:val="31F80FF9"/>
    <w:rsid w:val="31FA4196"/>
    <w:rsid w:val="321A6C4A"/>
    <w:rsid w:val="322931BC"/>
    <w:rsid w:val="323B2146"/>
    <w:rsid w:val="323D7C6C"/>
    <w:rsid w:val="32543208"/>
    <w:rsid w:val="32630039"/>
    <w:rsid w:val="327A7E28"/>
    <w:rsid w:val="327D62BB"/>
    <w:rsid w:val="328268CE"/>
    <w:rsid w:val="32A15506"/>
    <w:rsid w:val="32BF58EF"/>
    <w:rsid w:val="32C4213C"/>
    <w:rsid w:val="32C57C62"/>
    <w:rsid w:val="32F3227A"/>
    <w:rsid w:val="32F46515"/>
    <w:rsid w:val="32F50851"/>
    <w:rsid w:val="33015DD1"/>
    <w:rsid w:val="330C5891"/>
    <w:rsid w:val="331533D3"/>
    <w:rsid w:val="33492F6C"/>
    <w:rsid w:val="33712C64"/>
    <w:rsid w:val="337349D1"/>
    <w:rsid w:val="337F2933"/>
    <w:rsid w:val="33850F08"/>
    <w:rsid w:val="33E478B7"/>
    <w:rsid w:val="340F0069"/>
    <w:rsid w:val="341146CF"/>
    <w:rsid w:val="34190265"/>
    <w:rsid w:val="3434509F"/>
    <w:rsid w:val="34436CD2"/>
    <w:rsid w:val="345C032E"/>
    <w:rsid w:val="346911EC"/>
    <w:rsid w:val="34705DE8"/>
    <w:rsid w:val="347B1D3E"/>
    <w:rsid w:val="347B4A7C"/>
    <w:rsid w:val="34841305"/>
    <w:rsid w:val="348F62DA"/>
    <w:rsid w:val="349C63A1"/>
    <w:rsid w:val="34B670C2"/>
    <w:rsid w:val="34C208FD"/>
    <w:rsid w:val="34C667B8"/>
    <w:rsid w:val="34CF101E"/>
    <w:rsid w:val="34D429D9"/>
    <w:rsid w:val="34D9716A"/>
    <w:rsid w:val="34DF7637"/>
    <w:rsid w:val="34F71370"/>
    <w:rsid w:val="350E3B42"/>
    <w:rsid w:val="35101923"/>
    <w:rsid w:val="351531D7"/>
    <w:rsid w:val="351A699E"/>
    <w:rsid w:val="352C6166"/>
    <w:rsid w:val="353D7F83"/>
    <w:rsid w:val="355E45F4"/>
    <w:rsid w:val="3599165E"/>
    <w:rsid w:val="35991716"/>
    <w:rsid w:val="35994D2F"/>
    <w:rsid w:val="35A02E98"/>
    <w:rsid w:val="35A11A45"/>
    <w:rsid w:val="35A81A3A"/>
    <w:rsid w:val="35B302A1"/>
    <w:rsid w:val="35B50461"/>
    <w:rsid w:val="35BC6AE9"/>
    <w:rsid w:val="35C44201"/>
    <w:rsid w:val="35D22C0E"/>
    <w:rsid w:val="35D5759E"/>
    <w:rsid w:val="35DE4F7A"/>
    <w:rsid w:val="35E121E1"/>
    <w:rsid w:val="35E84E53"/>
    <w:rsid w:val="35EB0A29"/>
    <w:rsid w:val="35EB3E83"/>
    <w:rsid w:val="35EB5AE4"/>
    <w:rsid w:val="35EE2FC7"/>
    <w:rsid w:val="35F15CA4"/>
    <w:rsid w:val="36002775"/>
    <w:rsid w:val="3606745F"/>
    <w:rsid w:val="36193BCB"/>
    <w:rsid w:val="362548A0"/>
    <w:rsid w:val="3630158B"/>
    <w:rsid w:val="363324E6"/>
    <w:rsid w:val="365D631E"/>
    <w:rsid w:val="365F29E9"/>
    <w:rsid w:val="3660217B"/>
    <w:rsid w:val="368A544A"/>
    <w:rsid w:val="36942F07"/>
    <w:rsid w:val="3697713D"/>
    <w:rsid w:val="369B0357"/>
    <w:rsid w:val="369C3850"/>
    <w:rsid w:val="36A61D97"/>
    <w:rsid w:val="36BD65E1"/>
    <w:rsid w:val="36C01F2B"/>
    <w:rsid w:val="36C461C2"/>
    <w:rsid w:val="36DF09AA"/>
    <w:rsid w:val="370445FA"/>
    <w:rsid w:val="37150272"/>
    <w:rsid w:val="3719794B"/>
    <w:rsid w:val="37197D00"/>
    <w:rsid w:val="372118AF"/>
    <w:rsid w:val="373D5314"/>
    <w:rsid w:val="37643096"/>
    <w:rsid w:val="376550D6"/>
    <w:rsid w:val="376D5499"/>
    <w:rsid w:val="3772660A"/>
    <w:rsid w:val="3780494F"/>
    <w:rsid w:val="378105FB"/>
    <w:rsid w:val="37920A5A"/>
    <w:rsid w:val="37955F75"/>
    <w:rsid w:val="379662D1"/>
    <w:rsid w:val="379B08DA"/>
    <w:rsid w:val="37AB1AB6"/>
    <w:rsid w:val="37B71CC8"/>
    <w:rsid w:val="380139A1"/>
    <w:rsid w:val="38014A88"/>
    <w:rsid w:val="38090376"/>
    <w:rsid w:val="382C7134"/>
    <w:rsid w:val="382D1679"/>
    <w:rsid w:val="383E77DC"/>
    <w:rsid w:val="38451629"/>
    <w:rsid w:val="385B59D1"/>
    <w:rsid w:val="38667E4C"/>
    <w:rsid w:val="3878766F"/>
    <w:rsid w:val="387F307C"/>
    <w:rsid w:val="38877E93"/>
    <w:rsid w:val="388A2BF1"/>
    <w:rsid w:val="38946D14"/>
    <w:rsid w:val="38A70528"/>
    <w:rsid w:val="38AA37D2"/>
    <w:rsid w:val="38B27842"/>
    <w:rsid w:val="38EB2951"/>
    <w:rsid w:val="38ED063D"/>
    <w:rsid w:val="39033292"/>
    <w:rsid w:val="39096AFA"/>
    <w:rsid w:val="39166C6D"/>
    <w:rsid w:val="3949339B"/>
    <w:rsid w:val="3958436A"/>
    <w:rsid w:val="395C1320"/>
    <w:rsid w:val="397F523B"/>
    <w:rsid w:val="39845000"/>
    <w:rsid w:val="398475C2"/>
    <w:rsid w:val="398C14D9"/>
    <w:rsid w:val="398D7C40"/>
    <w:rsid w:val="39C4059B"/>
    <w:rsid w:val="39CA2E79"/>
    <w:rsid w:val="39CE7DFF"/>
    <w:rsid w:val="39E210F9"/>
    <w:rsid w:val="39F33306"/>
    <w:rsid w:val="39FE4185"/>
    <w:rsid w:val="3A0472C2"/>
    <w:rsid w:val="3A06303A"/>
    <w:rsid w:val="3A15327D"/>
    <w:rsid w:val="3A176FF5"/>
    <w:rsid w:val="3A4678DA"/>
    <w:rsid w:val="3A49117D"/>
    <w:rsid w:val="3A656089"/>
    <w:rsid w:val="3A6725ED"/>
    <w:rsid w:val="3A6C1B62"/>
    <w:rsid w:val="3A736CC9"/>
    <w:rsid w:val="3A7925D4"/>
    <w:rsid w:val="3A925C8A"/>
    <w:rsid w:val="3A96379C"/>
    <w:rsid w:val="3A9E14C4"/>
    <w:rsid w:val="3AB40CE8"/>
    <w:rsid w:val="3AB63A4C"/>
    <w:rsid w:val="3AB8529B"/>
    <w:rsid w:val="3AC1338E"/>
    <w:rsid w:val="3ACA63C5"/>
    <w:rsid w:val="3ADB6F18"/>
    <w:rsid w:val="3AF15A98"/>
    <w:rsid w:val="3B231BA9"/>
    <w:rsid w:val="3B36794F"/>
    <w:rsid w:val="3B394FF5"/>
    <w:rsid w:val="3B4B164C"/>
    <w:rsid w:val="3B4D61F0"/>
    <w:rsid w:val="3B5624D2"/>
    <w:rsid w:val="3B620744"/>
    <w:rsid w:val="3B706C40"/>
    <w:rsid w:val="3B944967"/>
    <w:rsid w:val="3BAC5E63"/>
    <w:rsid w:val="3BBC42F8"/>
    <w:rsid w:val="3BCA7067"/>
    <w:rsid w:val="3BDB59DD"/>
    <w:rsid w:val="3C0E5FC0"/>
    <w:rsid w:val="3C157564"/>
    <w:rsid w:val="3C264C45"/>
    <w:rsid w:val="3C2A22E8"/>
    <w:rsid w:val="3C37199C"/>
    <w:rsid w:val="3C3D79E3"/>
    <w:rsid w:val="3C5B6508"/>
    <w:rsid w:val="3C7C71A8"/>
    <w:rsid w:val="3C954DBD"/>
    <w:rsid w:val="3C9C7C85"/>
    <w:rsid w:val="3CA8662A"/>
    <w:rsid w:val="3CAA4FEB"/>
    <w:rsid w:val="3CB274A9"/>
    <w:rsid w:val="3CC11D31"/>
    <w:rsid w:val="3CCD42E3"/>
    <w:rsid w:val="3CCF3BB7"/>
    <w:rsid w:val="3CD411CD"/>
    <w:rsid w:val="3CEA279F"/>
    <w:rsid w:val="3CFF0FB4"/>
    <w:rsid w:val="3D0B110C"/>
    <w:rsid w:val="3D1B2DE3"/>
    <w:rsid w:val="3D2A4B34"/>
    <w:rsid w:val="3D2D6B2F"/>
    <w:rsid w:val="3D8E7FC3"/>
    <w:rsid w:val="3D954E00"/>
    <w:rsid w:val="3D9573E6"/>
    <w:rsid w:val="3DA25DCF"/>
    <w:rsid w:val="3DAF5796"/>
    <w:rsid w:val="3DC806CC"/>
    <w:rsid w:val="3DCE20C0"/>
    <w:rsid w:val="3DD4228F"/>
    <w:rsid w:val="3DE55BB0"/>
    <w:rsid w:val="3DF61C4C"/>
    <w:rsid w:val="3E1E6AF6"/>
    <w:rsid w:val="3E3219D0"/>
    <w:rsid w:val="3E335341"/>
    <w:rsid w:val="3E344619"/>
    <w:rsid w:val="3E3A1504"/>
    <w:rsid w:val="3E3B049A"/>
    <w:rsid w:val="3E3C3834"/>
    <w:rsid w:val="3E407B0A"/>
    <w:rsid w:val="3E4800C5"/>
    <w:rsid w:val="3E507D7E"/>
    <w:rsid w:val="3E662EBF"/>
    <w:rsid w:val="3E884CD8"/>
    <w:rsid w:val="3E8C2C22"/>
    <w:rsid w:val="3EA87CD5"/>
    <w:rsid w:val="3EAE617C"/>
    <w:rsid w:val="3EB42D59"/>
    <w:rsid w:val="3EBF159C"/>
    <w:rsid w:val="3EC30DA2"/>
    <w:rsid w:val="3ED71EA8"/>
    <w:rsid w:val="3EDA5125"/>
    <w:rsid w:val="3EE16C01"/>
    <w:rsid w:val="3EE85A4C"/>
    <w:rsid w:val="3EEE0756"/>
    <w:rsid w:val="3EFB5600"/>
    <w:rsid w:val="3F037C53"/>
    <w:rsid w:val="3F0F084A"/>
    <w:rsid w:val="3F0F5416"/>
    <w:rsid w:val="3F312907"/>
    <w:rsid w:val="3F356D5E"/>
    <w:rsid w:val="3F4D5A76"/>
    <w:rsid w:val="3F5B7984"/>
    <w:rsid w:val="3F7609E9"/>
    <w:rsid w:val="3F780536"/>
    <w:rsid w:val="3F855F4F"/>
    <w:rsid w:val="3FA255B3"/>
    <w:rsid w:val="3FA93436"/>
    <w:rsid w:val="3FB452E6"/>
    <w:rsid w:val="3FB916EB"/>
    <w:rsid w:val="3FC6339A"/>
    <w:rsid w:val="3FC812FC"/>
    <w:rsid w:val="3FC842EC"/>
    <w:rsid w:val="3FC96165"/>
    <w:rsid w:val="3FD0747C"/>
    <w:rsid w:val="3FDA2F9E"/>
    <w:rsid w:val="3FDB09AC"/>
    <w:rsid w:val="3FDC0DDC"/>
    <w:rsid w:val="3FEE5762"/>
    <w:rsid w:val="40175FA1"/>
    <w:rsid w:val="402D350D"/>
    <w:rsid w:val="402D5672"/>
    <w:rsid w:val="403802ED"/>
    <w:rsid w:val="407E3BF2"/>
    <w:rsid w:val="40EF13CA"/>
    <w:rsid w:val="40F7192E"/>
    <w:rsid w:val="40FA143B"/>
    <w:rsid w:val="40FA252F"/>
    <w:rsid w:val="41075C9E"/>
    <w:rsid w:val="410B42F3"/>
    <w:rsid w:val="41250249"/>
    <w:rsid w:val="41312621"/>
    <w:rsid w:val="413C460F"/>
    <w:rsid w:val="414A567B"/>
    <w:rsid w:val="41532F65"/>
    <w:rsid w:val="415D4149"/>
    <w:rsid w:val="415E6EA9"/>
    <w:rsid w:val="41762D4D"/>
    <w:rsid w:val="41883BA4"/>
    <w:rsid w:val="41904347"/>
    <w:rsid w:val="41AE54DD"/>
    <w:rsid w:val="41B01549"/>
    <w:rsid w:val="41B14C97"/>
    <w:rsid w:val="41C16FE9"/>
    <w:rsid w:val="41C37D77"/>
    <w:rsid w:val="41C929D2"/>
    <w:rsid w:val="41DA54D8"/>
    <w:rsid w:val="41FA16D6"/>
    <w:rsid w:val="42022339"/>
    <w:rsid w:val="420462A2"/>
    <w:rsid w:val="42071C33"/>
    <w:rsid w:val="422232A6"/>
    <w:rsid w:val="423568A3"/>
    <w:rsid w:val="423D5A66"/>
    <w:rsid w:val="424A2598"/>
    <w:rsid w:val="427C5A63"/>
    <w:rsid w:val="42847D12"/>
    <w:rsid w:val="42984DF0"/>
    <w:rsid w:val="429A62B9"/>
    <w:rsid w:val="429E3344"/>
    <w:rsid w:val="429F76A5"/>
    <w:rsid w:val="42A74106"/>
    <w:rsid w:val="42AE1DB0"/>
    <w:rsid w:val="42D068DB"/>
    <w:rsid w:val="42D55C5A"/>
    <w:rsid w:val="42D6343C"/>
    <w:rsid w:val="42D972C6"/>
    <w:rsid w:val="42E27A71"/>
    <w:rsid w:val="42E3216A"/>
    <w:rsid w:val="42F45BF3"/>
    <w:rsid w:val="43066362"/>
    <w:rsid w:val="430B16C1"/>
    <w:rsid w:val="4322009B"/>
    <w:rsid w:val="435C1F1C"/>
    <w:rsid w:val="435E79D1"/>
    <w:rsid w:val="436A4175"/>
    <w:rsid w:val="437F1AF7"/>
    <w:rsid w:val="438057A2"/>
    <w:rsid w:val="43A546F5"/>
    <w:rsid w:val="43B43B06"/>
    <w:rsid w:val="43C65BB4"/>
    <w:rsid w:val="43D75EDF"/>
    <w:rsid w:val="43DE62D2"/>
    <w:rsid w:val="43E4588D"/>
    <w:rsid w:val="43E66354"/>
    <w:rsid w:val="43E830CC"/>
    <w:rsid w:val="43F26FA3"/>
    <w:rsid w:val="43F31DE0"/>
    <w:rsid w:val="43F47856"/>
    <w:rsid w:val="440045F7"/>
    <w:rsid w:val="44030D67"/>
    <w:rsid w:val="440359D1"/>
    <w:rsid w:val="44056D4A"/>
    <w:rsid w:val="441D5B50"/>
    <w:rsid w:val="443C7399"/>
    <w:rsid w:val="443D4E5E"/>
    <w:rsid w:val="445D2CA3"/>
    <w:rsid w:val="445E7602"/>
    <w:rsid w:val="44764610"/>
    <w:rsid w:val="44890AEF"/>
    <w:rsid w:val="44953938"/>
    <w:rsid w:val="449B2379"/>
    <w:rsid w:val="449C5D5B"/>
    <w:rsid w:val="44AA3914"/>
    <w:rsid w:val="44D96E82"/>
    <w:rsid w:val="44F61691"/>
    <w:rsid w:val="45004271"/>
    <w:rsid w:val="45091E4C"/>
    <w:rsid w:val="45097749"/>
    <w:rsid w:val="450E2C6D"/>
    <w:rsid w:val="451000E8"/>
    <w:rsid w:val="452F5B3A"/>
    <w:rsid w:val="45361B7A"/>
    <w:rsid w:val="45551CD2"/>
    <w:rsid w:val="455F381D"/>
    <w:rsid w:val="45750675"/>
    <w:rsid w:val="458336CE"/>
    <w:rsid w:val="459019B6"/>
    <w:rsid w:val="45934B8E"/>
    <w:rsid w:val="4594599D"/>
    <w:rsid w:val="459C1818"/>
    <w:rsid w:val="45B94936"/>
    <w:rsid w:val="45C47FEA"/>
    <w:rsid w:val="45C77F5D"/>
    <w:rsid w:val="45CC3389"/>
    <w:rsid w:val="45D04C30"/>
    <w:rsid w:val="45E62C0C"/>
    <w:rsid w:val="45E87ACC"/>
    <w:rsid w:val="45F30715"/>
    <w:rsid w:val="46026DAB"/>
    <w:rsid w:val="46152C58"/>
    <w:rsid w:val="46280B2B"/>
    <w:rsid w:val="463D4287"/>
    <w:rsid w:val="46494559"/>
    <w:rsid w:val="46496788"/>
    <w:rsid w:val="465A0995"/>
    <w:rsid w:val="465E797E"/>
    <w:rsid w:val="46647A66"/>
    <w:rsid w:val="4666041D"/>
    <w:rsid w:val="466B0189"/>
    <w:rsid w:val="46761606"/>
    <w:rsid w:val="46765A1C"/>
    <w:rsid w:val="467B08ED"/>
    <w:rsid w:val="469A6680"/>
    <w:rsid w:val="469F783D"/>
    <w:rsid w:val="46A936CA"/>
    <w:rsid w:val="46B7537D"/>
    <w:rsid w:val="46BD2F34"/>
    <w:rsid w:val="46C171F7"/>
    <w:rsid w:val="46C82706"/>
    <w:rsid w:val="46C83A73"/>
    <w:rsid w:val="46D72568"/>
    <w:rsid w:val="46F61AFC"/>
    <w:rsid w:val="470459AE"/>
    <w:rsid w:val="471379FA"/>
    <w:rsid w:val="472D7E58"/>
    <w:rsid w:val="47353F4A"/>
    <w:rsid w:val="47526E1C"/>
    <w:rsid w:val="4760502F"/>
    <w:rsid w:val="47706F2B"/>
    <w:rsid w:val="477B3A86"/>
    <w:rsid w:val="47905373"/>
    <w:rsid w:val="47951059"/>
    <w:rsid w:val="479E3926"/>
    <w:rsid w:val="47A45B75"/>
    <w:rsid w:val="47A6721B"/>
    <w:rsid w:val="47A83982"/>
    <w:rsid w:val="47AA14A8"/>
    <w:rsid w:val="47AC5B29"/>
    <w:rsid w:val="47B32567"/>
    <w:rsid w:val="47B75C51"/>
    <w:rsid w:val="47C86AD6"/>
    <w:rsid w:val="47CD2123"/>
    <w:rsid w:val="47D3206E"/>
    <w:rsid w:val="47DB3B56"/>
    <w:rsid w:val="47DF64E5"/>
    <w:rsid w:val="47F54465"/>
    <w:rsid w:val="47F65A41"/>
    <w:rsid w:val="47FB61A8"/>
    <w:rsid w:val="48083A06"/>
    <w:rsid w:val="48125E4D"/>
    <w:rsid w:val="4812704D"/>
    <w:rsid w:val="481B1ECE"/>
    <w:rsid w:val="48286871"/>
    <w:rsid w:val="48334CC9"/>
    <w:rsid w:val="48547C51"/>
    <w:rsid w:val="485D651B"/>
    <w:rsid w:val="486D794F"/>
    <w:rsid w:val="488A36D6"/>
    <w:rsid w:val="48A0549A"/>
    <w:rsid w:val="48B55C68"/>
    <w:rsid w:val="48C42A3E"/>
    <w:rsid w:val="48CB0D9B"/>
    <w:rsid w:val="48DC0ABA"/>
    <w:rsid w:val="48EE01B9"/>
    <w:rsid w:val="48EF3C78"/>
    <w:rsid w:val="492357D0"/>
    <w:rsid w:val="492D3531"/>
    <w:rsid w:val="4937560A"/>
    <w:rsid w:val="495E6476"/>
    <w:rsid w:val="49760E4E"/>
    <w:rsid w:val="49784437"/>
    <w:rsid w:val="498B7AA4"/>
    <w:rsid w:val="498E11E5"/>
    <w:rsid w:val="499757F2"/>
    <w:rsid w:val="49A91831"/>
    <w:rsid w:val="49BE56DF"/>
    <w:rsid w:val="49D7054F"/>
    <w:rsid w:val="49DF2012"/>
    <w:rsid w:val="4A28367C"/>
    <w:rsid w:val="4A3516A7"/>
    <w:rsid w:val="4A477487"/>
    <w:rsid w:val="4A6F2D70"/>
    <w:rsid w:val="4A8C5857"/>
    <w:rsid w:val="4A955AD3"/>
    <w:rsid w:val="4AA033A5"/>
    <w:rsid w:val="4AAC19DB"/>
    <w:rsid w:val="4ACB57CC"/>
    <w:rsid w:val="4AD11442"/>
    <w:rsid w:val="4AD71050"/>
    <w:rsid w:val="4ADF539B"/>
    <w:rsid w:val="4AE0671C"/>
    <w:rsid w:val="4AFF39A7"/>
    <w:rsid w:val="4B0F4C11"/>
    <w:rsid w:val="4B26353C"/>
    <w:rsid w:val="4B2F55D4"/>
    <w:rsid w:val="4B3142D7"/>
    <w:rsid w:val="4B3204B9"/>
    <w:rsid w:val="4B443F5D"/>
    <w:rsid w:val="4B56048C"/>
    <w:rsid w:val="4B647F84"/>
    <w:rsid w:val="4B716827"/>
    <w:rsid w:val="4B7F0857"/>
    <w:rsid w:val="4B8B6E69"/>
    <w:rsid w:val="4BB04E28"/>
    <w:rsid w:val="4BC863A1"/>
    <w:rsid w:val="4BCB40E3"/>
    <w:rsid w:val="4BD332E5"/>
    <w:rsid w:val="4BF016FF"/>
    <w:rsid w:val="4C054033"/>
    <w:rsid w:val="4C172E84"/>
    <w:rsid w:val="4C1C45B7"/>
    <w:rsid w:val="4C537033"/>
    <w:rsid w:val="4C5F79B9"/>
    <w:rsid w:val="4C883D82"/>
    <w:rsid w:val="4C935755"/>
    <w:rsid w:val="4CC32799"/>
    <w:rsid w:val="4CCD673F"/>
    <w:rsid w:val="4CD25197"/>
    <w:rsid w:val="4CD323D3"/>
    <w:rsid w:val="4CD52FE6"/>
    <w:rsid w:val="4CD8325D"/>
    <w:rsid w:val="4CDF7E46"/>
    <w:rsid w:val="4CE0574F"/>
    <w:rsid w:val="4CF501AC"/>
    <w:rsid w:val="4CF5766A"/>
    <w:rsid w:val="4D326F78"/>
    <w:rsid w:val="4D336FCF"/>
    <w:rsid w:val="4D3E60BB"/>
    <w:rsid w:val="4D3E78CD"/>
    <w:rsid w:val="4D450A27"/>
    <w:rsid w:val="4D54670E"/>
    <w:rsid w:val="4D641DBF"/>
    <w:rsid w:val="4D735C4D"/>
    <w:rsid w:val="4D7A2324"/>
    <w:rsid w:val="4D885A44"/>
    <w:rsid w:val="4D9549A9"/>
    <w:rsid w:val="4DB50BA7"/>
    <w:rsid w:val="4DBD11D2"/>
    <w:rsid w:val="4E06107E"/>
    <w:rsid w:val="4E0F7048"/>
    <w:rsid w:val="4E1C10AB"/>
    <w:rsid w:val="4E371003"/>
    <w:rsid w:val="4E431759"/>
    <w:rsid w:val="4E4D7E58"/>
    <w:rsid w:val="4E600A7E"/>
    <w:rsid w:val="4E6A7935"/>
    <w:rsid w:val="4E922C96"/>
    <w:rsid w:val="4E942753"/>
    <w:rsid w:val="4EAD18CA"/>
    <w:rsid w:val="4EB3158A"/>
    <w:rsid w:val="4EBE7F2F"/>
    <w:rsid w:val="4EC83D28"/>
    <w:rsid w:val="4ECB51EA"/>
    <w:rsid w:val="4ED00D27"/>
    <w:rsid w:val="4EDD2163"/>
    <w:rsid w:val="4EDD5641"/>
    <w:rsid w:val="4EE51018"/>
    <w:rsid w:val="4F00569F"/>
    <w:rsid w:val="4F2B7981"/>
    <w:rsid w:val="4F3512A3"/>
    <w:rsid w:val="4F422745"/>
    <w:rsid w:val="4F494113"/>
    <w:rsid w:val="4F4D38F0"/>
    <w:rsid w:val="4F5D6A4F"/>
    <w:rsid w:val="4F6A4471"/>
    <w:rsid w:val="4F805993"/>
    <w:rsid w:val="4F9D0B1C"/>
    <w:rsid w:val="4FA40ED3"/>
    <w:rsid w:val="4FD43019"/>
    <w:rsid w:val="4FD87A55"/>
    <w:rsid w:val="4FF21C3E"/>
    <w:rsid w:val="4FF93F39"/>
    <w:rsid w:val="50084F19"/>
    <w:rsid w:val="500E5044"/>
    <w:rsid w:val="501A4C4A"/>
    <w:rsid w:val="501B16B3"/>
    <w:rsid w:val="502838B2"/>
    <w:rsid w:val="502D5544"/>
    <w:rsid w:val="50387003"/>
    <w:rsid w:val="503D71FC"/>
    <w:rsid w:val="504927CC"/>
    <w:rsid w:val="506B19F1"/>
    <w:rsid w:val="50715259"/>
    <w:rsid w:val="50744D49"/>
    <w:rsid w:val="507B7A10"/>
    <w:rsid w:val="50884351"/>
    <w:rsid w:val="50942CF5"/>
    <w:rsid w:val="50A45E47"/>
    <w:rsid w:val="50DC4393"/>
    <w:rsid w:val="50F0696D"/>
    <w:rsid w:val="50FA3034"/>
    <w:rsid w:val="50FA430C"/>
    <w:rsid w:val="510655FD"/>
    <w:rsid w:val="51070065"/>
    <w:rsid w:val="5108459C"/>
    <w:rsid w:val="51171B91"/>
    <w:rsid w:val="511856D5"/>
    <w:rsid w:val="5127693B"/>
    <w:rsid w:val="51281690"/>
    <w:rsid w:val="512F6EC2"/>
    <w:rsid w:val="51317E93"/>
    <w:rsid w:val="51651C41"/>
    <w:rsid w:val="517D5E7F"/>
    <w:rsid w:val="5187414F"/>
    <w:rsid w:val="518C7E71"/>
    <w:rsid w:val="519D7854"/>
    <w:rsid w:val="51A2290E"/>
    <w:rsid w:val="51A9209C"/>
    <w:rsid w:val="51C047F1"/>
    <w:rsid w:val="51C53B15"/>
    <w:rsid w:val="51D16161"/>
    <w:rsid w:val="51DE5856"/>
    <w:rsid w:val="51E63A25"/>
    <w:rsid w:val="51E8191E"/>
    <w:rsid w:val="51F4269B"/>
    <w:rsid w:val="51F43732"/>
    <w:rsid w:val="52012C5F"/>
    <w:rsid w:val="521F6197"/>
    <w:rsid w:val="523251E8"/>
    <w:rsid w:val="523A4235"/>
    <w:rsid w:val="524C5EAE"/>
    <w:rsid w:val="52661B1B"/>
    <w:rsid w:val="52702C6B"/>
    <w:rsid w:val="528D5C4E"/>
    <w:rsid w:val="529C4A96"/>
    <w:rsid w:val="529C5152"/>
    <w:rsid w:val="52AB6335"/>
    <w:rsid w:val="52CC5972"/>
    <w:rsid w:val="52CF270B"/>
    <w:rsid w:val="52D1374D"/>
    <w:rsid w:val="52D65847"/>
    <w:rsid w:val="52E7651A"/>
    <w:rsid w:val="53087FF5"/>
    <w:rsid w:val="532C79FA"/>
    <w:rsid w:val="532D19B8"/>
    <w:rsid w:val="53363228"/>
    <w:rsid w:val="533B0998"/>
    <w:rsid w:val="534C254D"/>
    <w:rsid w:val="53517149"/>
    <w:rsid w:val="5366395A"/>
    <w:rsid w:val="536B211D"/>
    <w:rsid w:val="536D1D18"/>
    <w:rsid w:val="53814739"/>
    <w:rsid w:val="538168C3"/>
    <w:rsid w:val="538434F5"/>
    <w:rsid w:val="538854AB"/>
    <w:rsid w:val="53890B0C"/>
    <w:rsid w:val="539D45B7"/>
    <w:rsid w:val="539F486C"/>
    <w:rsid w:val="53BE72AB"/>
    <w:rsid w:val="53C4294A"/>
    <w:rsid w:val="53CD1ECB"/>
    <w:rsid w:val="53DC2690"/>
    <w:rsid w:val="53EC2E48"/>
    <w:rsid w:val="53F93E22"/>
    <w:rsid w:val="54177EC5"/>
    <w:rsid w:val="54231989"/>
    <w:rsid w:val="54271D93"/>
    <w:rsid w:val="543C587A"/>
    <w:rsid w:val="544E765F"/>
    <w:rsid w:val="54535BA7"/>
    <w:rsid w:val="546319AF"/>
    <w:rsid w:val="5469774B"/>
    <w:rsid w:val="547A20D2"/>
    <w:rsid w:val="54842ABD"/>
    <w:rsid w:val="54883066"/>
    <w:rsid w:val="548A243E"/>
    <w:rsid w:val="548C0587"/>
    <w:rsid w:val="549239F0"/>
    <w:rsid w:val="5495528E"/>
    <w:rsid w:val="54DF6189"/>
    <w:rsid w:val="54F50E63"/>
    <w:rsid w:val="552705DC"/>
    <w:rsid w:val="552D5B8C"/>
    <w:rsid w:val="55313209"/>
    <w:rsid w:val="553E75B5"/>
    <w:rsid w:val="55505B09"/>
    <w:rsid w:val="55655EF4"/>
    <w:rsid w:val="5572740F"/>
    <w:rsid w:val="557B6F90"/>
    <w:rsid w:val="557D644E"/>
    <w:rsid w:val="55894DF3"/>
    <w:rsid w:val="5594168D"/>
    <w:rsid w:val="559C27FA"/>
    <w:rsid w:val="559C71E9"/>
    <w:rsid w:val="55A6314B"/>
    <w:rsid w:val="55AA001D"/>
    <w:rsid w:val="55AB6164"/>
    <w:rsid w:val="55E2414B"/>
    <w:rsid w:val="55FE0534"/>
    <w:rsid w:val="560B7D9C"/>
    <w:rsid w:val="56735015"/>
    <w:rsid w:val="56B52A05"/>
    <w:rsid w:val="56C024DD"/>
    <w:rsid w:val="56C74ED9"/>
    <w:rsid w:val="56D46542"/>
    <w:rsid w:val="56E41F92"/>
    <w:rsid w:val="56EB1A4B"/>
    <w:rsid w:val="56EB4737"/>
    <w:rsid w:val="56F94227"/>
    <w:rsid w:val="56F950A3"/>
    <w:rsid w:val="570453AC"/>
    <w:rsid w:val="57166DFA"/>
    <w:rsid w:val="57183033"/>
    <w:rsid w:val="57315742"/>
    <w:rsid w:val="573E7E5F"/>
    <w:rsid w:val="5755718C"/>
    <w:rsid w:val="576A47AB"/>
    <w:rsid w:val="57797BC0"/>
    <w:rsid w:val="579E4882"/>
    <w:rsid w:val="57A37CC2"/>
    <w:rsid w:val="57A46D34"/>
    <w:rsid w:val="57AC12C5"/>
    <w:rsid w:val="57D808E7"/>
    <w:rsid w:val="57FF75EE"/>
    <w:rsid w:val="581035A9"/>
    <w:rsid w:val="58217ACB"/>
    <w:rsid w:val="585D4315"/>
    <w:rsid w:val="586C4558"/>
    <w:rsid w:val="586D36E5"/>
    <w:rsid w:val="58783D05"/>
    <w:rsid w:val="58935F89"/>
    <w:rsid w:val="58C33BEB"/>
    <w:rsid w:val="58C962C6"/>
    <w:rsid w:val="58DA0917"/>
    <w:rsid w:val="58DE3F06"/>
    <w:rsid w:val="58F80F4E"/>
    <w:rsid w:val="59165E23"/>
    <w:rsid w:val="593212FE"/>
    <w:rsid w:val="59331FF7"/>
    <w:rsid w:val="59371318"/>
    <w:rsid w:val="5960104D"/>
    <w:rsid w:val="596C2A61"/>
    <w:rsid w:val="59701E26"/>
    <w:rsid w:val="599C1B5F"/>
    <w:rsid w:val="599C2C1B"/>
    <w:rsid w:val="599C6C07"/>
    <w:rsid w:val="599F637C"/>
    <w:rsid w:val="59A83DDF"/>
    <w:rsid w:val="59B2308C"/>
    <w:rsid w:val="59B71CBF"/>
    <w:rsid w:val="59BD7612"/>
    <w:rsid w:val="59C06909"/>
    <w:rsid w:val="59E049DA"/>
    <w:rsid w:val="59E3136D"/>
    <w:rsid w:val="59EA39B5"/>
    <w:rsid w:val="5A1F7205"/>
    <w:rsid w:val="5A3A5B53"/>
    <w:rsid w:val="5A6F7D2D"/>
    <w:rsid w:val="5A721363"/>
    <w:rsid w:val="5A743C84"/>
    <w:rsid w:val="5A7A472C"/>
    <w:rsid w:val="5A7B32DA"/>
    <w:rsid w:val="5A8738CB"/>
    <w:rsid w:val="5AA06D00"/>
    <w:rsid w:val="5AC05880"/>
    <w:rsid w:val="5AF51304"/>
    <w:rsid w:val="5AFD2321"/>
    <w:rsid w:val="5B0D560D"/>
    <w:rsid w:val="5B182775"/>
    <w:rsid w:val="5B261A6C"/>
    <w:rsid w:val="5B480736"/>
    <w:rsid w:val="5B5C1A2D"/>
    <w:rsid w:val="5B7A6F8C"/>
    <w:rsid w:val="5B8F49CD"/>
    <w:rsid w:val="5B925432"/>
    <w:rsid w:val="5BAB0882"/>
    <w:rsid w:val="5BC22E0D"/>
    <w:rsid w:val="5BCC33F3"/>
    <w:rsid w:val="5BCD1DF8"/>
    <w:rsid w:val="5BD24D4E"/>
    <w:rsid w:val="5BD6469E"/>
    <w:rsid w:val="5BEA1C12"/>
    <w:rsid w:val="5BF925A6"/>
    <w:rsid w:val="5C0A3007"/>
    <w:rsid w:val="5C2313D1"/>
    <w:rsid w:val="5C306FF1"/>
    <w:rsid w:val="5C3B75B9"/>
    <w:rsid w:val="5C416FF0"/>
    <w:rsid w:val="5C5123E2"/>
    <w:rsid w:val="5C5D614F"/>
    <w:rsid w:val="5C8342CD"/>
    <w:rsid w:val="5C942049"/>
    <w:rsid w:val="5CAE3391"/>
    <w:rsid w:val="5CEE1B8A"/>
    <w:rsid w:val="5D257F77"/>
    <w:rsid w:val="5D343E1C"/>
    <w:rsid w:val="5D595C99"/>
    <w:rsid w:val="5D700BB2"/>
    <w:rsid w:val="5D724133"/>
    <w:rsid w:val="5D747905"/>
    <w:rsid w:val="5D7719D5"/>
    <w:rsid w:val="5D8840F0"/>
    <w:rsid w:val="5DA632F4"/>
    <w:rsid w:val="5DA71BDD"/>
    <w:rsid w:val="5DA831D9"/>
    <w:rsid w:val="5DBF5E9C"/>
    <w:rsid w:val="5DE41831"/>
    <w:rsid w:val="5DF04865"/>
    <w:rsid w:val="5DFD1912"/>
    <w:rsid w:val="5E22432D"/>
    <w:rsid w:val="5E2D4789"/>
    <w:rsid w:val="5E36363E"/>
    <w:rsid w:val="5E385608"/>
    <w:rsid w:val="5E4A70E9"/>
    <w:rsid w:val="5E540CE9"/>
    <w:rsid w:val="5E565C94"/>
    <w:rsid w:val="5E8720EC"/>
    <w:rsid w:val="5E8E1C0D"/>
    <w:rsid w:val="5E8E347A"/>
    <w:rsid w:val="5E9A1E1F"/>
    <w:rsid w:val="5EB8503C"/>
    <w:rsid w:val="5ED62E95"/>
    <w:rsid w:val="5EF502AC"/>
    <w:rsid w:val="5EFD36AE"/>
    <w:rsid w:val="5F021EAB"/>
    <w:rsid w:val="5F134BAA"/>
    <w:rsid w:val="5F144235"/>
    <w:rsid w:val="5F1C5ECE"/>
    <w:rsid w:val="5F2622DE"/>
    <w:rsid w:val="5F3106FA"/>
    <w:rsid w:val="5F574316"/>
    <w:rsid w:val="5F670706"/>
    <w:rsid w:val="5F7D704B"/>
    <w:rsid w:val="5F8D36BF"/>
    <w:rsid w:val="5F904FD0"/>
    <w:rsid w:val="5F914B83"/>
    <w:rsid w:val="5F9468A5"/>
    <w:rsid w:val="5FA628F6"/>
    <w:rsid w:val="5FAF1D11"/>
    <w:rsid w:val="5FB915C1"/>
    <w:rsid w:val="5FC77149"/>
    <w:rsid w:val="5FDC1C1E"/>
    <w:rsid w:val="5FF612D7"/>
    <w:rsid w:val="60057095"/>
    <w:rsid w:val="60074E6A"/>
    <w:rsid w:val="60194FC5"/>
    <w:rsid w:val="603F6634"/>
    <w:rsid w:val="60630BF0"/>
    <w:rsid w:val="606F2E37"/>
    <w:rsid w:val="60835262"/>
    <w:rsid w:val="60850D79"/>
    <w:rsid w:val="60877B83"/>
    <w:rsid w:val="60892113"/>
    <w:rsid w:val="6096281D"/>
    <w:rsid w:val="60BE791B"/>
    <w:rsid w:val="60C51D11"/>
    <w:rsid w:val="60C966A4"/>
    <w:rsid w:val="60EF425E"/>
    <w:rsid w:val="60F021CA"/>
    <w:rsid w:val="60F55502"/>
    <w:rsid w:val="60FD179A"/>
    <w:rsid w:val="61025186"/>
    <w:rsid w:val="61057F3A"/>
    <w:rsid w:val="610C6A7E"/>
    <w:rsid w:val="610E3843"/>
    <w:rsid w:val="611F1F5D"/>
    <w:rsid w:val="614505C7"/>
    <w:rsid w:val="6148324C"/>
    <w:rsid w:val="61534507"/>
    <w:rsid w:val="615D00D5"/>
    <w:rsid w:val="616E0DA1"/>
    <w:rsid w:val="617A7CE6"/>
    <w:rsid w:val="617E5764"/>
    <w:rsid w:val="61A04973"/>
    <w:rsid w:val="61A06CDF"/>
    <w:rsid w:val="61C947C9"/>
    <w:rsid w:val="61D70C94"/>
    <w:rsid w:val="61E57197"/>
    <w:rsid w:val="61FD0357"/>
    <w:rsid w:val="620200DC"/>
    <w:rsid w:val="62175A17"/>
    <w:rsid w:val="62185DFF"/>
    <w:rsid w:val="622F7F12"/>
    <w:rsid w:val="62593D9F"/>
    <w:rsid w:val="626341C3"/>
    <w:rsid w:val="626C5004"/>
    <w:rsid w:val="62762F36"/>
    <w:rsid w:val="62952CD2"/>
    <w:rsid w:val="62B50F76"/>
    <w:rsid w:val="62BA1B68"/>
    <w:rsid w:val="62BE2372"/>
    <w:rsid w:val="62C21944"/>
    <w:rsid w:val="62C4226B"/>
    <w:rsid w:val="62D33B51"/>
    <w:rsid w:val="62EB5AFC"/>
    <w:rsid w:val="63082C8A"/>
    <w:rsid w:val="630C1CCD"/>
    <w:rsid w:val="6311152E"/>
    <w:rsid w:val="631726B9"/>
    <w:rsid w:val="63195917"/>
    <w:rsid w:val="631A2A8B"/>
    <w:rsid w:val="631E523C"/>
    <w:rsid w:val="632E6FDA"/>
    <w:rsid w:val="632F6F6E"/>
    <w:rsid w:val="632F78D1"/>
    <w:rsid w:val="63317FE4"/>
    <w:rsid w:val="63451DBF"/>
    <w:rsid w:val="635A1B7D"/>
    <w:rsid w:val="63651249"/>
    <w:rsid w:val="637531E7"/>
    <w:rsid w:val="63890060"/>
    <w:rsid w:val="63927568"/>
    <w:rsid w:val="639B6DD8"/>
    <w:rsid w:val="63B079D6"/>
    <w:rsid w:val="63B41EC4"/>
    <w:rsid w:val="63C74A65"/>
    <w:rsid w:val="63F35B2D"/>
    <w:rsid w:val="64191539"/>
    <w:rsid w:val="64632CB3"/>
    <w:rsid w:val="64727D2E"/>
    <w:rsid w:val="64816AE5"/>
    <w:rsid w:val="64AE7AF2"/>
    <w:rsid w:val="64C5571C"/>
    <w:rsid w:val="64D045E1"/>
    <w:rsid w:val="64D771FD"/>
    <w:rsid w:val="64DE20F3"/>
    <w:rsid w:val="64E060B2"/>
    <w:rsid w:val="65037FF2"/>
    <w:rsid w:val="652C5B50"/>
    <w:rsid w:val="654A1C49"/>
    <w:rsid w:val="655C6618"/>
    <w:rsid w:val="655D7993"/>
    <w:rsid w:val="6563181F"/>
    <w:rsid w:val="65AB2B63"/>
    <w:rsid w:val="65D26342"/>
    <w:rsid w:val="65F71905"/>
    <w:rsid w:val="65FD5525"/>
    <w:rsid w:val="660118BB"/>
    <w:rsid w:val="66214BD4"/>
    <w:rsid w:val="6625501B"/>
    <w:rsid w:val="663D7000"/>
    <w:rsid w:val="66443A2E"/>
    <w:rsid w:val="6646463A"/>
    <w:rsid w:val="664A7C13"/>
    <w:rsid w:val="665E7BD6"/>
    <w:rsid w:val="6663181D"/>
    <w:rsid w:val="667411A7"/>
    <w:rsid w:val="66966ACF"/>
    <w:rsid w:val="66A82508"/>
    <w:rsid w:val="66AC6C1A"/>
    <w:rsid w:val="66BA2932"/>
    <w:rsid w:val="66D30B95"/>
    <w:rsid w:val="66D5610E"/>
    <w:rsid w:val="66F37795"/>
    <w:rsid w:val="66F83B86"/>
    <w:rsid w:val="66FB26CB"/>
    <w:rsid w:val="67050051"/>
    <w:rsid w:val="670B61BA"/>
    <w:rsid w:val="670F3437"/>
    <w:rsid w:val="672B7619"/>
    <w:rsid w:val="673F0C12"/>
    <w:rsid w:val="674C01A4"/>
    <w:rsid w:val="675D4D7D"/>
    <w:rsid w:val="67717495"/>
    <w:rsid w:val="677D5E3A"/>
    <w:rsid w:val="678645DC"/>
    <w:rsid w:val="67890A12"/>
    <w:rsid w:val="679367F1"/>
    <w:rsid w:val="67A4786A"/>
    <w:rsid w:val="67AC4971"/>
    <w:rsid w:val="67B61C59"/>
    <w:rsid w:val="67D81583"/>
    <w:rsid w:val="67DF08A2"/>
    <w:rsid w:val="67E05984"/>
    <w:rsid w:val="67E1286C"/>
    <w:rsid w:val="67E326A6"/>
    <w:rsid w:val="67E71D9C"/>
    <w:rsid w:val="67E73BFB"/>
    <w:rsid w:val="67EA64C8"/>
    <w:rsid w:val="67ED316C"/>
    <w:rsid w:val="67F73E3E"/>
    <w:rsid w:val="68000819"/>
    <w:rsid w:val="68064081"/>
    <w:rsid w:val="68091050"/>
    <w:rsid w:val="680D317C"/>
    <w:rsid w:val="681C3A47"/>
    <w:rsid w:val="682416D5"/>
    <w:rsid w:val="683706DE"/>
    <w:rsid w:val="684959CD"/>
    <w:rsid w:val="685875C0"/>
    <w:rsid w:val="685B114C"/>
    <w:rsid w:val="685C79C8"/>
    <w:rsid w:val="686A0D5C"/>
    <w:rsid w:val="689478DF"/>
    <w:rsid w:val="689618A9"/>
    <w:rsid w:val="68A2260D"/>
    <w:rsid w:val="68A778F7"/>
    <w:rsid w:val="68AA3957"/>
    <w:rsid w:val="68CE3A97"/>
    <w:rsid w:val="68DA236B"/>
    <w:rsid w:val="68EC771B"/>
    <w:rsid w:val="68F77AE8"/>
    <w:rsid w:val="68FC0882"/>
    <w:rsid w:val="69076C5D"/>
    <w:rsid w:val="692602FB"/>
    <w:rsid w:val="692C0B14"/>
    <w:rsid w:val="69335A95"/>
    <w:rsid w:val="69390486"/>
    <w:rsid w:val="69513A22"/>
    <w:rsid w:val="695569BF"/>
    <w:rsid w:val="69564B94"/>
    <w:rsid w:val="695C7CBE"/>
    <w:rsid w:val="696C260A"/>
    <w:rsid w:val="69C53059"/>
    <w:rsid w:val="69CB3AD1"/>
    <w:rsid w:val="69E20B1E"/>
    <w:rsid w:val="69EA1E9A"/>
    <w:rsid w:val="69EB1780"/>
    <w:rsid w:val="69F1555E"/>
    <w:rsid w:val="69F34AD9"/>
    <w:rsid w:val="6A3B5C82"/>
    <w:rsid w:val="6A4A2422"/>
    <w:rsid w:val="6A4B7EB5"/>
    <w:rsid w:val="6A627569"/>
    <w:rsid w:val="6A694C78"/>
    <w:rsid w:val="6A7B324A"/>
    <w:rsid w:val="6A935934"/>
    <w:rsid w:val="6AA843DD"/>
    <w:rsid w:val="6AB95FA7"/>
    <w:rsid w:val="6ABE6E95"/>
    <w:rsid w:val="6AC743A9"/>
    <w:rsid w:val="6AD66F32"/>
    <w:rsid w:val="6ADE7537"/>
    <w:rsid w:val="6AFF2F4A"/>
    <w:rsid w:val="6B0B7337"/>
    <w:rsid w:val="6B1E4154"/>
    <w:rsid w:val="6B3727A3"/>
    <w:rsid w:val="6B446275"/>
    <w:rsid w:val="6B556742"/>
    <w:rsid w:val="6B6044F3"/>
    <w:rsid w:val="6B635FEF"/>
    <w:rsid w:val="6B8E51BB"/>
    <w:rsid w:val="6B971160"/>
    <w:rsid w:val="6BB44002"/>
    <w:rsid w:val="6BCB43C3"/>
    <w:rsid w:val="6BD32735"/>
    <w:rsid w:val="6BE0108D"/>
    <w:rsid w:val="6BE51400"/>
    <w:rsid w:val="6BF310DF"/>
    <w:rsid w:val="6BF902D6"/>
    <w:rsid w:val="6BF9385F"/>
    <w:rsid w:val="6BFD68E4"/>
    <w:rsid w:val="6C0C2A49"/>
    <w:rsid w:val="6C1F551D"/>
    <w:rsid w:val="6C5764F3"/>
    <w:rsid w:val="6C587E10"/>
    <w:rsid w:val="6C6B2C38"/>
    <w:rsid w:val="6C726A22"/>
    <w:rsid w:val="6C7C7593"/>
    <w:rsid w:val="6C806981"/>
    <w:rsid w:val="6C922AD0"/>
    <w:rsid w:val="6CA624EA"/>
    <w:rsid w:val="6CE1662C"/>
    <w:rsid w:val="6CF50484"/>
    <w:rsid w:val="6D0C6300"/>
    <w:rsid w:val="6D126628"/>
    <w:rsid w:val="6D2F5E28"/>
    <w:rsid w:val="6D4C69DA"/>
    <w:rsid w:val="6D5D0BE7"/>
    <w:rsid w:val="6D5E670D"/>
    <w:rsid w:val="6D5F1454"/>
    <w:rsid w:val="6D6F7A81"/>
    <w:rsid w:val="6D7061B6"/>
    <w:rsid w:val="6D7B35C7"/>
    <w:rsid w:val="6D7C1232"/>
    <w:rsid w:val="6D8E28E7"/>
    <w:rsid w:val="6D927B87"/>
    <w:rsid w:val="6D97331C"/>
    <w:rsid w:val="6DAC1EBF"/>
    <w:rsid w:val="6DD00252"/>
    <w:rsid w:val="6DD12C6E"/>
    <w:rsid w:val="6DF66946"/>
    <w:rsid w:val="6E0702C3"/>
    <w:rsid w:val="6E082F81"/>
    <w:rsid w:val="6E0B1BA3"/>
    <w:rsid w:val="6E2561D4"/>
    <w:rsid w:val="6E3B4301"/>
    <w:rsid w:val="6E4175F0"/>
    <w:rsid w:val="6E421B8B"/>
    <w:rsid w:val="6E566991"/>
    <w:rsid w:val="6E6616D3"/>
    <w:rsid w:val="6E7A5955"/>
    <w:rsid w:val="6E7D449A"/>
    <w:rsid w:val="6E812890"/>
    <w:rsid w:val="6E8129E7"/>
    <w:rsid w:val="6E994ED0"/>
    <w:rsid w:val="6EA47A5F"/>
    <w:rsid w:val="6EA94E17"/>
    <w:rsid w:val="6EC627BC"/>
    <w:rsid w:val="6EDB0E90"/>
    <w:rsid w:val="6F2134E9"/>
    <w:rsid w:val="6F2274F4"/>
    <w:rsid w:val="6F5E68E4"/>
    <w:rsid w:val="6F612952"/>
    <w:rsid w:val="6F63625D"/>
    <w:rsid w:val="6F667AFB"/>
    <w:rsid w:val="6F7D47CA"/>
    <w:rsid w:val="6FA42F27"/>
    <w:rsid w:val="6FB15812"/>
    <w:rsid w:val="6FBE7D30"/>
    <w:rsid w:val="6FCA008A"/>
    <w:rsid w:val="6FCD1928"/>
    <w:rsid w:val="6FEC3A4A"/>
    <w:rsid w:val="6FFE7D34"/>
    <w:rsid w:val="700215D2"/>
    <w:rsid w:val="70041245"/>
    <w:rsid w:val="700A492A"/>
    <w:rsid w:val="702C14B7"/>
    <w:rsid w:val="704448C6"/>
    <w:rsid w:val="706C0193"/>
    <w:rsid w:val="70741141"/>
    <w:rsid w:val="70785D38"/>
    <w:rsid w:val="707B5FC7"/>
    <w:rsid w:val="70906F8C"/>
    <w:rsid w:val="70A628A5"/>
    <w:rsid w:val="70AA7138"/>
    <w:rsid w:val="70B84386"/>
    <w:rsid w:val="70D310F1"/>
    <w:rsid w:val="70DC117A"/>
    <w:rsid w:val="70E27834"/>
    <w:rsid w:val="70EB4526"/>
    <w:rsid w:val="70F03B20"/>
    <w:rsid w:val="70F52EE5"/>
    <w:rsid w:val="71123BD4"/>
    <w:rsid w:val="712D566C"/>
    <w:rsid w:val="713734FD"/>
    <w:rsid w:val="715369D8"/>
    <w:rsid w:val="715646E5"/>
    <w:rsid w:val="715B5F41"/>
    <w:rsid w:val="715C11B6"/>
    <w:rsid w:val="716F59F0"/>
    <w:rsid w:val="717004AF"/>
    <w:rsid w:val="7174734E"/>
    <w:rsid w:val="719941B8"/>
    <w:rsid w:val="71AA1F21"/>
    <w:rsid w:val="71B55328"/>
    <w:rsid w:val="71BD6174"/>
    <w:rsid w:val="71D75EC6"/>
    <w:rsid w:val="71DC52F1"/>
    <w:rsid w:val="71E80D3A"/>
    <w:rsid w:val="721044EA"/>
    <w:rsid w:val="72152B95"/>
    <w:rsid w:val="72174375"/>
    <w:rsid w:val="72191B99"/>
    <w:rsid w:val="72210452"/>
    <w:rsid w:val="72233D38"/>
    <w:rsid w:val="722E2B52"/>
    <w:rsid w:val="72307CD9"/>
    <w:rsid w:val="726C012F"/>
    <w:rsid w:val="72705875"/>
    <w:rsid w:val="727158F8"/>
    <w:rsid w:val="72785B7B"/>
    <w:rsid w:val="729579C2"/>
    <w:rsid w:val="729A69FD"/>
    <w:rsid w:val="729D25D4"/>
    <w:rsid w:val="72B5448A"/>
    <w:rsid w:val="72B62B48"/>
    <w:rsid w:val="72C60FDD"/>
    <w:rsid w:val="72E5799D"/>
    <w:rsid w:val="72EC25A5"/>
    <w:rsid w:val="73067E35"/>
    <w:rsid w:val="731D4975"/>
    <w:rsid w:val="73267FC6"/>
    <w:rsid w:val="73351CBE"/>
    <w:rsid w:val="73373C88"/>
    <w:rsid w:val="735A362C"/>
    <w:rsid w:val="736E6F7E"/>
    <w:rsid w:val="73A1666C"/>
    <w:rsid w:val="73A346B2"/>
    <w:rsid w:val="73AA2322"/>
    <w:rsid w:val="73C24F7C"/>
    <w:rsid w:val="73CF7075"/>
    <w:rsid w:val="73D66229"/>
    <w:rsid w:val="73DF5113"/>
    <w:rsid w:val="73FA0DCA"/>
    <w:rsid w:val="741D6775"/>
    <w:rsid w:val="74200DBA"/>
    <w:rsid w:val="7427458C"/>
    <w:rsid w:val="74281CF2"/>
    <w:rsid w:val="74371B9E"/>
    <w:rsid w:val="743C6063"/>
    <w:rsid w:val="743D36AF"/>
    <w:rsid w:val="744300D4"/>
    <w:rsid w:val="74681C20"/>
    <w:rsid w:val="74820F33"/>
    <w:rsid w:val="749127FD"/>
    <w:rsid w:val="74A40EAA"/>
    <w:rsid w:val="74B118ED"/>
    <w:rsid w:val="74BA4845"/>
    <w:rsid w:val="74C32A16"/>
    <w:rsid w:val="74CC7F94"/>
    <w:rsid w:val="74D515DF"/>
    <w:rsid w:val="74DC4AE7"/>
    <w:rsid w:val="74E4399C"/>
    <w:rsid w:val="74F2198D"/>
    <w:rsid w:val="75045F1D"/>
    <w:rsid w:val="750B0F29"/>
    <w:rsid w:val="751100F5"/>
    <w:rsid w:val="75247BC3"/>
    <w:rsid w:val="752B03D6"/>
    <w:rsid w:val="753554D9"/>
    <w:rsid w:val="753A2E87"/>
    <w:rsid w:val="75506659"/>
    <w:rsid w:val="759F54D7"/>
    <w:rsid w:val="75B020CB"/>
    <w:rsid w:val="75B3511C"/>
    <w:rsid w:val="75B765F5"/>
    <w:rsid w:val="75BB3F2B"/>
    <w:rsid w:val="75BC0192"/>
    <w:rsid w:val="75BD11F0"/>
    <w:rsid w:val="75CD34AA"/>
    <w:rsid w:val="7603382F"/>
    <w:rsid w:val="761C5B48"/>
    <w:rsid w:val="7621658C"/>
    <w:rsid w:val="76312C11"/>
    <w:rsid w:val="76385D93"/>
    <w:rsid w:val="76391E51"/>
    <w:rsid w:val="763E0E8A"/>
    <w:rsid w:val="763E70DC"/>
    <w:rsid w:val="764B089B"/>
    <w:rsid w:val="76537293"/>
    <w:rsid w:val="7678005C"/>
    <w:rsid w:val="767C6EB0"/>
    <w:rsid w:val="76917A5A"/>
    <w:rsid w:val="769D65B1"/>
    <w:rsid w:val="769E7B7B"/>
    <w:rsid w:val="76DA7925"/>
    <w:rsid w:val="76DC69D5"/>
    <w:rsid w:val="76F0487A"/>
    <w:rsid w:val="77106CCA"/>
    <w:rsid w:val="775B61E3"/>
    <w:rsid w:val="77662524"/>
    <w:rsid w:val="7788574F"/>
    <w:rsid w:val="778C3E77"/>
    <w:rsid w:val="779A17FF"/>
    <w:rsid w:val="779C64D3"/>
    <w:rsid w:val="779D6084"/>
    <w:rsid w:val="77BC70EA"/>
    <w:rsid w:val="77D953E8"/>
    <w:rsid w:val="77F760F1"/>
    <w:rsid w:val="780103C1"/>
    <w:rsid w:val="780446B8"/>
    <w:rsid w:val="78171191"/>
    <w:rsid w:val="781F5ABC"/>
    <w:rsid w:val="78327625"/>
    <w:rsid w:val="78441CF7"/>
    <w:rsid w:val="7850650B"/>
    <w:rsid w:val="78587E0C"/>
    <w:rsid w:val="787E5EB6"/>
    <w:rsid w:val="788C05D2"/>
    <w:rsid w:val="788F3C1F"/>
    <w:rsid w:val="7892419A"/>
    <w:rsid w:val="78975629"/>
    <w:rsid w:val="78BC33A1"/>
    <w:rsid w:val="78EF7D76"/>
    <w:rsid w:val="79225239"/>
    <w:rsid w:val="79542668"/>
    <w:rsid w:val="795A0E71"/>
    <w:rsid w:val="797A26BC"/>
    <w:rsid w:val="79974B02"/>
    <w:rsid w:val="799C4DC1"/>
    <w:rsid w:val="799D05BD"/>
    <w:rsid w:val="79A04FDE"/>
    <w:rsid w:val="79A949C8"/>
    <w:rsid w:val="79BB1A31"/>
    <w:rsid w:val="79BE2540"/>
    <w:rsid w:val="79C50972"/>
    <w:rsid w:val="79DD0015"/>
    <w:rsid w:val="79DF047A"/>
    <w:rsid w:val="79E420F9"/>
    <w:rsid w:val="79FA5A10"/>
    <w:rsid w:val="7A012D50"/>
    <w:rsid w:val="7A160049"/>
    <w:rsid w:val="7A22447B"/>
    <w:rsid w:val="7A231265"/>
    <w:rsid w:val="7A2C3F9B"/>
    <w:rsid w:val="7A2D5B1B"/>
    <w:rsid w:val="7A364867"/>
    <w:rsid w:val="7A385760"/>
    <w:rsid w:val="7A475BE8"/>
    <w:rsid w:val="7A5F3B2B"/>
    <w:rsid w:val="7A617B86"/>
    <w:rsid w:val="7A6E2FAE"/>
    <w:rsid w:val="7A804CC0"/>
    <w:rsid w:val="7A833DED"/>
    <w:rsid w:val="7AAF48BB"/>
    <w:rsid w:val="7ABC6C2B"/>
    <w:rsid w:val="7AE71A39"/>
    <w:rsid w:val="7AED5B87"/>
    <w:rsid w:val="7AF3020A"/>
    <w:rsid w:val="7AFB284F"/>
    <w:rsid w:val="7B020A9A"/>
    <w:rsid w:val="7B0D6732"/>
    <w:rsid w:val="7B12094C"/>
    <w:rsid w:val="7B233B80"/>
    <w:rsid w:val="7B407F31"/>
    <w:rsid w:val="7B53181F"/>
    <w:rsid w:val="7B533629"/>
    <w:rsid w:val="7B541DF1"/>
    <w:rsid w:val="7B5A49B8"/>
    <w:rsid w:val="7B6E2211"/>
    <w:rsid w:val="7B8009EB"/>
    <w:rsid w:val="7B8C6B3B"/>
    <w:rsid w:val="7B8E1C4C"/>
    <w:rsid w:val="7BA3327C"/>
    <w:rsid w:val="7BA93249"/>
    <w:rsid w:val="7BAD6126"/>
    <w:rsid w:val="7BB27477"/>
    <w:rsid w:val="7BBC1A53"/>
    <w:rsid w:val="7BC16B1B"/>
    <w:rsid w:val="7BD5403F"/>
    <w:rsid w:val="7BDB40F3"/>
    <w:rsid w:val="7BF66548"/>
    <w:rsid w:val="7C120DEF"/>
    <w:rsid w:val="7C175BC3"/>
    <w:rsid w:val="7C1E3B8B"/>
    <w:rsid w:val="7C2B2058"/>
    <w:rsid w:val="7C2F0744"/>
    <w:rsid w:val="7C3C2310"/>
    <w:rsid w:val="7C495D51"/>
    <w:rsid w:val="7C4E4E6B"/>
    <w:rsid w:val="7C5B4519"/>
    <w:rsid w:val="7CA671F5"/>
    <w:rsid w:val="7CAF4890"/>
    <w:rsid w:val="7CE147E7"/>
    <w:rsid w:val="7CF20277"/>
    <w:rsid w:val="7D032E2D"/>
    <w:rsid w:val="7D311F8A"/>
    <w:rsid w:val="7D382624"/>
    <w:rsid w:val="7D533714"/>
    <w:rsid w:val="7D5E036D"/>
    <w:rsid w:val="7D645E92"/>
    <w:rsid w:val="7D8D0443"/>
    <w:rsid w:val="7D8F2F7A"/>
    <w:rsid w:val="7DA2607B"/>
    <w:rsid w:val="7DBB0E5C"/>
    <w:rsid w:val="7DCB6D0A"/>
    <w:rsid w:val="7DD56578"/>
    <w:rsid w:val="7DE373FB"/>
    <w:rsid w:val="7DE8109A"/>
    <w:rsid w:val="7DE820A4"/>
    <w:rsid w:val="7DE828A2"/>
    <w:rsid w:val="7DED1B13"/>
    <w:rsid w:val="7DF369FE"/>
    <w:rsid w:val="7E1625FD"/>
    <w:rsid w:val="7E2D1F10"/>
    <w:rsid w:val="7E2D35B4"/>
    <w:rsid w:val="7E494BD9"/>
    <w:rsid w:val="7E4B1B80"/>
    <w:rsid w:val="7E50662D"/>
    <w:rsid w:val="7E957AB5"/>
    <w:rsid w:val="7E97382D"/>
    <w:rsid w:val="7E9E59A4"/>
    <w:rsid w:val="7EAA47F1"/>
    <w:rsid w:val="7EAF3C8A"/>
    <w:rsid w:val="7ED74AAE"/>
    <w:rsid w:val="7EE60311"/>
    <w:rsid w:val="7F051124"/>
    <w:rsid w:val="7F1C3D32"/>
    <w:rsid w:val="7F2214CF"/>
    <w:rsid w:val="7F4D76B4"/>
    <w:rsid w:val="7F54171E"/>
    <w:rsid w:val="7F572FBC"/>
    <w:rsid w:val="7F5C06EB"/>
    <w:rsid w:val="7F7841A9"/>
    <w:rsid w:val="7F916590"/>
    <w:rsid w:val="7F9D4E73"/>
    <w:rsid w:val="7FBD585C"/>
    <w:rsid w:val="7FF157CA"/>
    <w:rsid w:val="7FFB0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9"/>
    <w:autoRedefine/>
    <w:qFormat/>
    <w:uiPriority w:val="0"/>
    <w:pPr>
      <w:keepNext/>
      <w:jc w:val="center"/>
      <w:outlineLvl w:val="1"/>
    </w:pPr>
    <w:rPr>
      <w:rFonts w:ascii="仿宋_GB2312" w:hAnsi="宋体" w:eastAsia="仿宋_GB2312"/>
      <w:sz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5"/>
    <w:autoRedefine/>
    <w:qFormat/>
    <w:uiPriority w:val="0"/>
    <w:pPr>
      <w:keepNext/>
      <w:keepLines/>
      <w:spacing w:before="280" w:after="290" w:line="376" w:lineRule="auto"/>
      <w:outlineLvl w:val="3"/>
    </w:pPr>
    <w:rPr>
      <w:rFonts w:ascii="等线 Light" w:hAnsi="等线 Light" w:eastAsia="等线 Light"/>
      <w:b/>
      <w:bCs/>
      <w:sz w:val="28"/>
      <w:szCs w:val="28"/>
      <w:lang w:val="zh-CN" w:eastAsia="zh-CN"/>
    </w:rPr>
  </w:style>
  <w:style w:type="paragraph" w:styleId="6">
    <w:name w:val="heading 9"/>
    <w:basedOn w:val="1"/>
    <w:next w:val="1"/>
    <w:autoRedefine/>
    <w:qFormat/>
    <w:uiPriority w:val="0"/>
    <w:pPr>
      <w:spacing w:before="240" w:after="64" w:line="317" w:lineRule="auto"/>
      <w:outlineLvl w:val="8"/>
    </w:pPr>
    <w:rPr>
      <w:rFonts w:ascii="Arial" w:eastAsia="黑体"/>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7">
    <w:name w:val="Note Heading"/>
    <w:basedOn w:val="1"/>
    <w:next w:val="1"/>
    <w:link w:val="43"/>
    <w:autoRedefine/>
    <w:qFormat/>
    <w:uiPriority w:val="0"/>
    <w:pPr>
      <w:overflowPunct w:val="0"/>
      <w:adjustRightInd w:val="0"/>
      <w:snapToGrid w:val="0"/>
      <w:spacing w:line="300" w:lineRule="auto"/>
      <w:jc w:val="center"/>
    </w:pPr>
    <w:rPr>
      <w:szCs w:val="20"/>
    </w:rPr>
  </w:style>
  <w:style w:type="paragraph" w:styleId="8">
    <w:name w:val="index 8"/>
    <w:basedOn w:val="1"/>
    <w:next w:val="1"/>
    <w:autoRedefine/>
    <w:qFormat/>
    <w:uiPriority w:val="0"/>
    <w:pPr>
      <w:spacing w:line="276" w:lineRule="auto"/>
      <w:jc w:val="left"/>
    </w:pPr>
    <w:rPr>
      <w:rFonts w:ascii="宋体" w:hAnsi="宋体"/>
      <w:color w:val="FF0000"/>
      <w:szCs w:val="21"/>
    </w:rPr>
  </w:style>
  <w:style w:type="paragraph" w:styleId="9">
    <w:name w:val="Normal Indent"/>
    <w:basedOn w:val="1"/>
    <w:autoRedefine/>
    <w:qFormat/>
    <w:uiPriority w:val="0"/>
    <w:pPr>
      <w:ind w:firstLine="420" w:firstLineChars="200"/>
    </w:pPr>
  </w:style>
  <w:style w:type="paragraph" w:styleId="10">
    <w:name w:val="Document Map"/>
    <w:basedOn w:val="1"/>
    <w:autoRedefine/>
    <w:qFormat/>
    <w:uiPriority w:val="0"/>
    <w:pPr>
      <w:shd w:val="clear" w:color="auto" w:fill="000080"/>
    </w:pPr>
  </w:style>
  <w:style w:type="paragraph" w:styleId="11">
    <w:name w:val="annotation text"/>
    <w:basedOn w:val="1"/>
    <w:link w:val="44"/>
    <w:autoRedefine/>
    <w:qFormat/>
    <w:uiPriority w:val="0"/>
    <w:pPr>
      <w:jc w:val="left"/>
    </w:pPr>
    <w:rPr>
      <w:lang w:val="zh-CN" w:eastAsia="zh-CN"/>
    </w:rPr>
  </w:style>
  <w:style w:type="paragraph" w:styleId="12">
    <w:name w:val="Body Text"/>
    <w:basedOn w:val="1"/>
    <w:autoRedefine/>
    <w:qFormat/>
    <w:uiPriority w:val="0"/>
    <w:rPr>
      <w:rFonts w:ascii="宋体" w:hAnsi="宋体"/>
      <w:sz w:val="28"/>
    </w:rPr>
  </w:style>
  <w:style w:type="paragraph" w:styleId="13">
    <w:name w:val="Body Text Indent"/>
    <w:basedOn w:val="1"/>
    <w:autoRedefine/>
    <w:qFormat/>
    <w:uiPriority w:val="0"/>
    <w:pPr>
      <w:snapToGrid w:val="0"/>
      <w:spacing w:line="500" w:lineRule="exact"/>
      <w:ind w:firstLine="358" w:firstLineChars="128"/>
    </w:pPr>
    <w:rPr>
      <w:rFonts w:ascii="宋体" w:hAnsi="宋体"/>
      <w:sz w:val="28"/>
    </w:rPr>
  </w:style>
  <w:style w:type="paragraph" w:styleId="14">
    <w:name w:val="toc 3"/>
    <w:basedOn w:val="1"/>
    <w:next w:val="1"/>
    <w:autoRedefine/>
    <w:qFormat/>
    <w:uiPriority w:val="39"/>
    <w:pPr>
      <w:ind w:left="840" w:leftChars="400"/>
    </w:pPr>
  </w:style>
  <w:style w:type="paragraph" w:styleId="15">
    <w:name w:val="Plain Text"/>
    <w:basedOn w:val="1"/>
    <w:autoRedefine/>
    <w:qFormat/>
    <w:uiPriority w:val="0"/>
    <w:rPr>
      <w:rFonts w:ascii="宋体" w:hAnsi="Courier New"/>
      <w:szCs w:val="20"/>
    </w:rPr>
  </w:style>
  <w:style w:type="paragraph" w:styleId="16">
    <w:name w:val="Date"/>
    <w:basedOn w:val="1"/>
    <w:next w:val="1"/>
    <w:autoRedefine/>
    <w:qFormat/>
    <w:uiPriority w:val="0"/>
    <w:rPr>
      <w:sz w:val="24"/>
      <w:szCs w:val="20"/>
    </w:rPr>
  </w:style>
  <w:style w:type="paragraph" w:styleId="17">
    <w:name w:val="Body Text Indent 2"/>
    <w:basedOn w:val="1"/>
    <w:autoRedefine/>
    <w:qFormat/>
    <w:uiPriority w:val="0"/>
    <w:pPr>
      <w:spacing w:line="600" w:lineRule="exact"/>
      <w:ind w:firstLine="480" w:firstLineChars="200"/>
    </w:pPr>
    <w:rPr>
      <w:rFonts w:ascii="宋体" w:hAnsi="宋体"/>
      <w:sz w:val="24"/>
    </w:rPr>
  </w:style>
  <w:style w:type="paragraph" w:styleId="18">
    <w:name w:val="Balloon Text"/>
    <w:basedOn w:val="1"/>
    <w:autoRedefine/>
    <w:qFormat/>
    <w:uiPriority w:val="0"/>
    <w:rPr>
      <w:sz w:val="18"/>
      <w:szCs w:val="18"/>
    </w:rPr>
  </w:style>
  <w:style w:type="paragraph" w:styleId="19">
    <w:name w:val="footer"/>
    <w:basedOn w:val="1"/>
    <w:link w:val="49"/>
    <w:autoRedefine/>
    <w:qFormat/>
    <w:uiPriority w:val="99"/>
    <w:pPr>
      <w:tabs>
        <w:tab w:val="center" w:pos="4153"/>
        <w:tab w:val="right" w:pos="8306"/>
      </w:tabs>
      <w:snapToGrid w:val="0"/>
      <w:jc w:val="left"/>
    </w:pPr>
    <w:rPr>
      <w:sz w:val="18"/>
      <w:szCs w:val="18"/>
      <w:lang w:val="zh-CN" w:eastAsia="zh-CN"/>
    </w:rPr>
  </w:style>
  <w:style w:type="paragraph" w:styleId="20">
    <w:name w:val="header"/>
    <w:basedOn w:val="1"/>
    <w:link w:val="47"/>
    <w:autoRedefine/>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21">
    <w:name w:val="toc 1"/>
    <w:basedOn w:val="1"/>
    <w:next w:val="1"/>
    <w:autoRedefine/>
    <w:qFormat/>
    <w:uiPriority w:val="39"/>
    <w:pPr>
      <w:widowControl/>
      <w:spacing w:before="120"/>
      <w:jc w:val="left"/>
    </w:pPr>
    <w:rPr>
      <w:b/>
      <w:bCs/>
      <w:i/>
      <w:iCs/>
      <w:kern w:val="0"/>
      <w:sz w:val="20"/>
      <w:szCs w:val="28"/>
    </w:rPr>
  </w:style>
  <w:style w:type="paragraph" w:styleId="22">
    <w:name w:val="footnote text"/>
    <w:basedOn w:val="1"/>
    <w:link w:val="67"/>
    <w:autoRedefine/>
    <w:qFormat/>
    <w:uiPriority w:val="0"/>
    <w:pPr>
      <w:snapToGrid w:val="0"/>
      <w:jc w:val="left"/>
    </w:pPr>
    <w:rPr>
      <w:rFonts w:ascii="Calibri" w:hAnsi="Calibri"/>
      <w:sz w:val="18"/>
      <w:szCs w:val="20"/>
    </w:rPr>
  </w:style>
  <w:style w:type="paragraph" w:styleId="23">
    <w:name w:val="toc 2"/>
    <w:basedOn w:val="1"/>
    <w:next w:val="1"/>
    <w:autoRedefine/>
    <w:qFormat/>
    <w:uiPriority w:val="39"/>
    <w:pPr>
      <w:ind w:left="420" w:leftChars="200"/>
    </w:pPr>
  </w:style>
  <w:style w:type="paragraph" w:styleId="24">
    <w:name w:val="Body Text 2"/>
    <w:basedOn w:val="1"/>
    <w:autoRedefine/>
    <w:qFormat/>
    <w:uiPriority w:val="0"/>
    <w:pPr>
      <w:spacing w:line="600" w:lineRule="exact"/>
    </w:pPr>
    <w:rPr>
      <w:rFonts w:ascii="宋体" w:hAnsi="宋体"/>
      <w:sz w:val="24"/>
    </w:rPr>
  </w:style>
  <w:style w:type="paragraph" w:styleId="25">
    <w:name w:val="Normal (Web)"/>
    <w:basedOn w:val="1"/>
    <w:autoRedefine/>
    <w:qFormat/>
    <w:uiPriority w:val="0"/>
    <w:pPr>
      <w:spacing w:before="100" w:beforeAutospacing="1" w:after="100" w:afterAutospacing="1"/>
      <w:jc w:val="left"/>
    </w:pPr>
    <w:rPr>
      <w:kern w:val="0"/>
      <w:sz w:val="24"/>
    </w:rPr>
  </w:style>
  <w:style w:type="paragraph" w:styleId="26">
    <w:name w:val="annotation subject"/>
    <w:basedOn w:val="11"/>
    <w:next w:val="11"/>
    <w:link w:val="48"/>
    <w:autoRedefine/>
    <w:qFormat/>
    <w:uiPriority w:val="0"/>
    <w:rPr>
      <w:b/>
      <w:bCs/>
    </w:rPr>
  </w:style>
  <w:style w:type="paragraph" w:styleId="27">
    <w:name w:val="Body Text First Indent"/>
    <w:basedOn w:val="12"/>
    <w:autoRedefine/>
    <w:qFormat/>
    <w:uiPriority w:val="0"/>
    <w:pPr>
      <w:ind w:firstLine="420" w:firstLineChars="100"/>
    </w:pPr>
    <w:rPr>
      <w:sz w:val="34"/>
    </w:rPr>
  </w:style>
  <w:style w:type="paragraph" w:styleId="28">
    <w:name w:val="Body Text First Indent 2"/>
    <w:basedOn w:val="13"/>
    <w:autoRedefine/>
    <w:qFormat/>
    <w:uiPriority w:val="99"/>
    <w:pPr>
      <w:spacing w:after="120" w:line="360" w:lineRule="auto"/>
      <w:ind w:left="420" w:leftChars="200" w:firstLine="420"/>
    </w:pPr>
  </w:style>
  <w:style w:type="table" w:styleId="30">
    <w:name w:val="Table Grid"/>
    <w:basedOn w:val="2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0"/>
    <w:rPr>
      <w:rFonts w:ascii="Times New Roman" w:hAnsi="Times New Roman" w:eastAsia="宋体" w:cs="Times New Roman"/>
      <w:b/>
      <w:bCs/>
    </w:rPr>
  </w:style>
  <w:style w:type="character" w:styleId="33">
    <w:name w:val="page number"/>
    <w:autoRedefine/>
    <w:qFormat/>
    <w:uiPriority w:val="0"/>
    <w:rPr>
      <w:rFonts w:ascii="Times New Roman" w:hAnsi="Times New Roman" w:eastAsia="宋体" w:cs="Times New Roman"/>
    </w:rPr>
  </w:style>
  <w:style w:type="character" w:styleId="34">
    <w:name w:val="FollowedHyperlink"/>
    <w:autoRedefine/>
    <w:qFormat/>
    <w:uiPriority w:val="0"/>
    <w:rPr>
      <w:rFonts w:ascii="Times New Roman" w:hAnsi="Times New Roman" w:eastAsia="宋体" w:cs="Times New Roman"/>
      <w:color w:val="333333"/>
      <w:u w:val="none"/>
    </w:rPr>
  </w:style>
  <w:style w:type="character" w:styleId="35">
    <w:name w:val="Emphasis"/>
    <w:autoRedefine/>
    <w:qFormat/>
    <w:uiPriority w:val="0"/>
    <w:rPr>
      <w:rFonts w:ascii="Times New Roman" w:hAnsi="Times New Roman" w:eastAsia="宋体" w:cs="Times New Roman"/>
    </w:rPr>
  </w:style>
  <w:style w:type="character" w:styleId="36">
    <w:name w:val="HTML Definition"/>
    <w:autoRedefine/>
    <w:qFormat/>
    <w:uiPriority w:val="0"/>
    <w:rPr>
      <w:rFonts w:ascii="Times New Roman" w:hAnsi="Times New Roman" w:eastAsia="宋体" w:cs="Times New Roman"/>
    </w:rPr>
  </w:style>
  <w:style w:type="character" w:styleId="37">
    <w:name w:val="HTML Variable"/>
    <w:autoRedefine/>
    <w:qFormat/>
    <w:uiPriority w:val="0"/>
    <w:rPr>
      <w:rFonts w:ascii="Times New Roman" w:hAnsi="Times New Roman" w:eastAsia="宋体" w:cs="Times New Roman"/>
    </w:rPr>
  </w:style>
  <w:style w:type="character" w:styleId="38">
    <w:name w:val="Hyperlink"/>
    <w:autoRedefine/>
    <w:qFormat/>
    <w:uiPriority w:val="99"/>
    <w:rPr>
      <w:rFonts w:ascii="Times New Roman" w:hAnsi="Times New Roman" w:eastAsia="宋体" w:cs="Times New Roman"/>
      <w:color w:val="333333"/>
      <w:u w:val="none"/>
    </w:rPr>
  </w:style>
  <w:style w:type="character" w:styleId="39">
    <w:name w:val="HTML Code"/>
    <w:autoRedefine/>
    <w:qFormat/>
    <w:uiPriority w:val="0"/>
    <w:rPr>
      <w:rFonts w:ascii="Courier New" w:hAnsi="Courier New" w:eastAsia="宋体" w:cs="Times New Roman"/>
      <w:sz w:val="20"/>
    </w:rPr>
  </w:style>
  <w:style w:type="character" w:styleId="40">
    <w:name w:val="annotation reference"/>
    <w:autoRedefine/>
    <w:qFormat/>
    <w:uiPriority w:val="0"/>
    <w:rPr>
      <w:rFonts w:ascii="Times New Roman" w:hAnsi="Times New Roman" w:eastAsia="宋体" w:cs="Times New Roman"/>
      <w:sz w:val="21"/>
      <w:szCs w:val="21"/>
    </w:rPr>
  </w:style>
  <w:style w:type="character" w:styleId="41">
    <w:name w:val="HTML Cite"/>
    <w:autoRedefine/>
    <w:qFormat/>
    <w:uiPriority w:val="0"/>
    <w:rPr>
      <w:rFonts w:ascii="Times New Roman" w:hAnsi="Times New Roman" w:eastAsia="宋体" w:cs="Times New Roman"/>
    </w:rPr>
  </w:style>
  <w:style w:type="character" w:styleId="42">
    <w:name w:val="footnote reference"/>
    <w:autoRedefine/>
    <w:qFormat/>
    <w:uiPriority w:val="0"/>
    <w:rPr>
      <w:vertAlign w:val="superscript"/>
    </w:rPr>
  </w:style>
  <w:style w:type="character" w:customStyle="1" w:styleId="43">
    <w:name w:val="注释标题 字符"/>
    <w:link w:val="7"/>
    <w:autoRedefine/>
    <w:qFormat/>
    <w:uiPriority w:val="0"/>
    <w:rPr>
      <w:rFonts w:ascii="Times New Roman" w:hAnsi="Times New Roman" w:eastAsia="宋体" w:cs="Times New Roman"/>
      <w:kern w:val="2"/>
      <w:sz w:val="21"/>
      <w:lang w:val="en-US" w:eastAsia="zh-CN" w:bidi="ar-SA"/>
    </w:rPr>
  </w:style>
  <w:style w:type="character" w:customStyle="1" w:styleId="44">
    <w:name w:val="批注文字 字符"/>
    <w:link w:val="11"/>
    <w:autoRedefine/>
    <w:qFormat/>
    <w:uiPriority w:val="0"/>
    <w:rPr>
      <w:rFonts w:ascii="Times New Roman" w:hAnsi="Times New Roman" w:eastAsia="宋体" w:cs="Times New Roman"/>
      <w:kern w:val="2"/>
      <w:sz w:val="21"/>
      <w:szCs w:val="24"/>
    </w:rPr>
  </w:style>
  <w:style w:type="character" w:customStyle="1" w:styleId="45">
    <w:name w:val="标题 4 字符"/>
    <w:link w:val="5"/>
    <w:autoRedefine/>
    <w:qFormat/>
    <w:uiPriority w:val="0"/>
    <w:rPr>
      <w:rFonts w:ascii="等线 Light" w:hAnsi="等线 Light" w:eastAsia="等线 Light" w:cs="Times New Roman"/>
      <w:b/>
      <w:bCs/>
      <w:kern w:val="2"/>
      <w:sz w:val="28"/>
      <w:szCs w:val="28"/>
    </w:rPr>
  </w:style>
  <w:style w:type="character" w:customStyle="1" w:styleId="46">
    <w:name w:val="gonggao-downline1"/>
    <w:autoRedefine/>
    <w:qFormat/>
    <w:uiPriority w:val="0"/>
    <w:rPr>
      <w:rFonts w:ascii="Times New Roman" w:hAnsi="Times New Roman" w:eastAsia="宋体" w:cs="Times New Roman"/>
      <w:b/>
      <w:bCs/>
      <w:u w:val="single"/>
    </w:rPr>
  </w:style>
  <w:style w:type="character" w:customStyle="1" w:styleId="47">
    <w:name w:val="页眉 字符"/>
    <w:link w:val="20"/>
    <w:autoRedefine/>
    <w:qFormat/>
    <w:uiPriority w:val="99"/>
    <w:rPr>
      <w:rFonts w:ascii="Times New Roman" w:hAnsi="Times New Roman" w:eastAsia="宋体" w:cs="Times New Roman"/>
      <w:kern w:val="2"/>
      <w:sz w:val="18"/>
      <w:szCs w:val="18"/>
    </w:rPr>
  </w:style>
  <w:style w:type="character" w:customStyle="1" w:styleId="48">
    <w:name w:val="批注主题 字符"/>
    <w:link w:val="26"/>
    <w:autoRedefine/>
    <w:qFormat/>
    <w:uiPriority w:val="0"/>
    <w:rPr>
      <w:rFonts w:ascii="Times New Roman" w:hAnsi="Times New Roman" w:eastAsia="宋体" w:cs="Times New Roman"/>
      <w:b/>
      <w:bCs/>
      <w:kern w:val="2"/>
      <w:sz w:val="21"/>
      <w:szCs w:val="24"/>
    </w:rPr>
  </w:style>
  <w:style w:type="character" w:customStyle="1" w:styleId="49">
    <w:name w:val="页脚 字符1"/>
    <w:link w:val="19"/>
    <w:autoRedefine/>
    <w:qFormat/>
    <w:uiPriority w:val="0"/>
    <w:rPr>
      <w:rFonts w:ascii="Times New Roman" w:hAnsi="Times New Roman" w:eastAsia="宋体" w:cs="Times New Roman"/>
      <w:kern w:val="2"/>
      <w:sz w:val="18"/>
      <w:szCs w:val="18"/>
    </w:rPr>
  </w:style>
  <w:style w:type="character" w:customStyle="1" w:styleId="50">
    <w:name w:val="页脚 字符"/>
    <w:autoRedefine/>
    <w:qFormat/>
    <w:uiPriority w:val="99"/>
    <w:rPr>
      <w:rFonts w:ascii="Times New Roman" w:hAnsi="Times New Roman" w:eastAsia="宋体" w:cs="Times New Roman"/>
    </w:rPr>
  </w:style>
  <w:style w:type="paragraph" w:customStyle="1" w:styleId="51">
    <w:name w:val="无间隔1"/>
    <w:autoRedefine/>
    <w:qFormat/>
    <w:uiPriority w:val="0"/>
    <w:rPr>
      <w:rFonts w:ascii="Times New Roman" w:hAnsi="Times New Roman" w:eastAsia="宋体" w:cs="Times New Roman"/>
      <w:sz w:val="22"/>
      <w:szCs w:val="22"/>
      <w:lang w:val="en-US" w:eastAsia="en-US" w:bidi="en-US"/>
    </w:rPr>
  </w:style>
  <w:style w:type="paragraph" w:customStyle="1" w:styleId="52">
    <w:name w:val="MM Topic 9"/>
    <w:basedOn w:val="6"/>
    <w:next w:val="53"/>
    <w:autoRedefine/>
    <w:qFormat/>
    <w:uiPriority w:val="0"/>
  </w:style>
  <w:style w:type="paragraph" w:customStyle="1" w:styleId="53">
    <w:name w:val="样式2"/>
    <w:basedOn w:val="1"/>
    <w:next w:val="54"/>
    <w:autoRedefine/>
    <w:qFormat/>
    <w:uiPriority w:val="0"/>
    <w:pPr>
      <w:spacing w:line="410" w:lineRule="atLeast"/>
    </w:pPr>
    <w:rPr>
      <w:rFonts w:ascii="宋体"/>
      <w:sz w:val="34"/>
    </w:rPr>
  </w:style>
  <w:style w:type="paragraph" w:customStyle="1" w:styleId="54">
    <w:name w:val="页脚 New New New New New New New New New New"/>
    <w:next w:val="55"/>
    <w:autoRedefine/>
    <w:qFormat/>
    <w:uiPriority w:val="0"/>
    <w:pPr>
      <w:widowControl w:val="0"/>
    </w:pPr>
    <w:rPr>
      <w:rFonts w:ascii="Times New Roman" w:hAnsi="Times New Roman" w:eastAsia="宋体" w:cs="Times New Roman"/>
      <w:sz w:val="18"/>
      <w:szCs w:val="22"/>
      <w:lang w:val="en-US" w:eastAsia="zh-CN" w:bidi="ar-SA"/>
    </w:rPr>
  </w:style>
  <w:style w:type="paragraph" w:customStyle="1" w:styleId="55">
    <w:name w:val="目录 911"/>
    <w:next w:val="1"/>
    <w:autoRedefine/>
    <w:qFormat/>
    <w:uiPriority w:val="0"/>
    <w:pPr>
      <w:wordWrap w:val="0"/>
      <w:ind w:left="2975"/>
      <w:jc w:val="both"/>
    </w:pPr>
    <w:rPr>
      <w:rFonts w:ascii="Times New Roman" w:hAnsi="Times New Roman" w:eastAsia="宋体" w:cs="Times New Roman"/>
      <w:sz w:val="21"/>
      <w:szCs w:val="22"/>
      <w:lang w:val="en-US" w:eastAsia="zh-CN" w:bidi="ar-SA"/>
    </w:rPr>
  </w:style>
  <w:style w:type="paragraph" w:customStyle="1" w:styleId="56">
    <w:name w:val="样式"/>
    <w:autoRedefine/>
    <w:qFormat/>
    <w:uiPriority w:val="0"/>
    <w:pPr>
      <w:widowControl w:val="0"/>
    </w:pPr>
    <w:rPr>
      <w:rFonts w:ascii="宋体" w:hAnsi="宋体" w:eastAsia="宋体" w:cs="宋体"/>
      <w:color w:val="000000"/>
      <w:sz w:val="24"/>
      <w:szCs w:val="24"/>
      <w:lang w:val="en-US" w:eastAsia="zh-CN" w:bidi="ar-SA"/>
    </w:rPr>
  </w:style>
  <w:style w:type="paragraph" w:customStyle="1" w:styleId="57">
    <w:name w:val="TOC Heading"/>
    <w:basedOn w:val="2"/>
    <w:next w:val="1"/>
    <w:autoRedefine/>
    <w:qFormat/>
    <w:uiPriority w:val="0"/>
    <w:pPr>
      <w:outlineLvl w:val="9"/>
    </w:pPr>
  </w:style>
  <w:style w:type="paragraph" w:customStyle="1" w:styleId="58">
    <w:name w:val="目录"/>
    <w:basedOn w:val="1"/>
    <w:autoRedefine/>
    <w:qFormat/>
    <w:uiPriority w:val="0"/>
    <w:pPr>
      <w:widowControl/>
      <w:jc w:val="center"/>
    </w:pPr>
    <w:rPr>
      <w:rFonts w:ascii="宋体"/>
      <w:b/>
      <w:kern w:val="0"/>
      <w:sz w:val="36"/>
      <w:szCs w:val="20"/>
    </w:rPr>
  </w:style>
  <w:style w:type="paragraph" w:styleId="59">
    <w:name w:val="List Paragraph"/>
    <w:basedOn w:val="1"/>
    <w:autoRedefine/>
    <w:qFormat/>
    <w:uiPriority w:val="34"/>
    <w:pPr>
      <w:ind w:firstLine="420" w:firstLineChars="200"/>
    </w:pPr>
  </w:style>
  <w:style w:type="paragraph" w:customStyle="1" w:styleId="60">
    <w:name w:val="正文首行缩进两字符"/>
    <w:basedOn w:val="1"/>
    <w:autoRedefine/>
    <w:qFormat/>
    <w:uiPriority w:val="0"/>
    <w:pPr>
      <w:spacing w:line="360" w:lineRule="auto"/>
      <w:ind w:firstLine="200" w:firstLineChars="200"/>
    </w:pPr>
  </w:style>
  <w:style w:type="paragraph" w:customStyle="1" w:styleId="61">
    <w:name w:val="Table Text"/>
    <w:basedOn w:val="1"/>
    <w:next w:val="52"/>
    <w:autoRedefine/>
    <w:qFormat/>
    <w:uiPriority w:val="0"/>
    <w:pPr>
      <w:widowControl/>
      <w:spacing w:before="60" w:after="60"/>
    </w:pPr>
    <w:rPr>
      <w:rFonts w:ascii="宋体"/>
    </w:rPr>
  </w:style>
  <w:style w:type="paragraph" w:customStyle="1" w:styleId="62">
    <w:name w:val="样式 首行缩进:  2 字符"/>
    <w:basedOn w:val="1"/>
    <w:autoRedefine/>
    <w:qFormat/>
    <w:uiPriority w:val="0"/>
    <w:pPr>
      <w:spacing w:line="400" w:lineRule="exact"/>
      <w:ind w:firstLine="200" w:firstLineChars="200"/>
    </w:pPr>
    <w:rPr>
      <w:rFonts w:cs="宋体"/>
      <w:sz w:val="24"/>
    </w:rPr>
  </w:style>
  <w:style w:type="paragraph" w:customStyle="1" w:styleId="63">
    <w:name w:val="_Style 6"/>
    <w:basedOn w:val="2"/>
    <w:next w:val="1"/>
    <w:autoRedefine/>
    <w:qFormat/>
    <w:uiPriority w:val="0"/>
    <w:pPr>
      <w:outlineLvl w:val="9"/>
    </w:pPr>
  </w:style>
  <w:style w:type="paragraph" w:customStyle="1" w:styleId="64">
    <w:name w:val="Char Char Char Char"/>
    <w:basedOn w:val="1"/>
    <w:autoRedefine/>
    <w:qFormat/>
    <w:uiPriority w:val="0"/>
  </w:style>
  <w:style w:type="paragraph" w:customStyle="1" w:styleId="65">
    <w:name w:val="Default"/>
    <w:next w:val="61"/>
    <w:autoRedefine/>
    <w:qFormat/>
    <w:uiPriority w:val="0"/>
    <w:pPr>
      <w:widowControl w:val="0"/>
      <w:autoSpaceDE w:val="0"/>
      <w:autoSpaceDN w:val="0"/>
    </w:pPr>
    <w:rPr>
      <w:rFonts w:ascii="楷体" w:hAnsi="Times New Roman" w:eastAsia="楷体" w:cs="Times New Roman"/>
      <w:color w:val="000000"/>
      <w:sz w:val="24"/>
      <w:szCs w:val="22"/>
      <w:lang w:val="en-US" w:eastAsia="zh-CN" w:bidi="ar-SA"/>
    </w:rPr>
  </w:style>
  <w:style w:type="paragraph" w:customStyle="1" w:styleId="66">
    <w:name w:val="p0"/>
    <w:basedOn w:val="1"/>
    <w:autoRedefine/>
    <w:qFormat/>
    <w:uiPriority w:val="0"/>
    <w:pPr>
      <w:widowControl/>
    </w:pPr>
    <w:rPr>
      <w:rFonts w:hint="eastAsia"/>
      <w:szCs w:val="20"/>
    </w:rPr>
  </w:style>
  <w:style w:type="character" w:customStyle="1" w:styleId="67">
    <w:name w:val="脚注文本 字符"/>
    <w:link w:val="22"/>
    <w:autoRedefine/>
    <w:qFormat/>
    <w:uiPriority w:val="0"/>
    <w:rPr>
      <w:rFonts w:ascii="Calibri" w:hAnsi="Calibri"/>
      <w:kern w:val="2"/>
      <w:sz w:val="18"/>
    </w:rPr>
  </w:style>
  <w:style w:type="character" w:customStyle="1" w:styleId="68">
    <w:name w:val="脚注文本 字符1"/>
    <w:autoRedefine/>
    <w:qFormat/>
    <w:uiPriority w:val="0"/>
    <w:rPr>
      <w:rFonts w:ascii="Times New Roman" w:hAnsi="Times New Roman" w:eastAsia="宋体" w:cs="Times New Roman"/>
      <w:kern w:val="2"/>
      <w:sz w:val="18"/>
      <w:szCs w:val="18"/>
    </w:rPr>
  </w:style>
  <w:style w:type="character" w:customStyle="1" w:styleId="69">
    <w:name w:val="标题 2 字符"/>
    <w:link w:val="3"/>
    <w:autoRedefine/>
    <w:qFormat/>
    <w:uiPriority w:val="0"/>
    <w:rPr>
      <w:rFonts w:ascii="仿宋_GB2312" w:hAnsi="宋体" w:eastAsia="仿宋_GB2312"/>
      <w:kern w:val="2"/>
      <w:sz w:val="32"/>
      <w:szCs w:val="24"/>
    </w:rPr>
  </w:style>
  <w:style w:type="paragraph" w:customStyle="1" w:styleId="70">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373BBF-C388-40EF-8933-4C1D02A4765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9428</Words>
  <Characters>10002</Characters>
  <Lines>114</Lines>
  <Paragraphs>32</Paragraphs>
  <TotalTime>0</TotalTime>
  <ScaleCrop>false</ScaleCrop>
  <LinksUpToDate>false</LinksUpToDate>
  <CharactersWithSpaces>10353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2021-09-06T00:38:00Z</dcterms:created>
  <dc:creator>cjzx</dc:creator>
  <cp:lastModifiedBy>CYZEE</cp:lastModifiedBy>
  <cp:lastPrinted>2024-01-25T06:38:00Z</cp:lastPrinted>
  <dcterms:modified xsi:type="dcterms:W3CDTF">2025-06-10T09:32:16Z</dcterms:modified>
  <dc:title>设计比选邀请书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946E6CF6BF6C4D68806E74EA3F1D8DA0_13</vt:lpwstr>
  </property>
  <property fmtid="{D5CDD505-2E9C-101B-9397-08002B2CF9AE}" pid="4" name="KSOTemplateDocerSaveRecord">
    <vt:lpwstr>eyJoZGlkIjoiZTNiMmJjMGUyMDNhMGI0MjllZTc4OTE3ODRjOTBjMWQiLCJ1c2VySWQiOiIxNTcyMDg2NDEzIn0=</vt:lpwstr>
  </property>
</Properties>
</file>